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4B6" w:rsidRPr="00FA2113" w:rsidRDefault="00EE6557" w:rsidP="0068247F">
      <w:pPr>
        <w:pStyle w:val="3"/>
        <w:ind w:firstLine="0"/>
        <w:jc w:val="center"/>
      </w:pPr>
      <w:bookmarkStart w:id="0" w:name="_GoBack"/>
      <w:bookmarkEnd w:id="0"/>
      <w:r>
        <w:t>Інформація про програмний продукт «Депозитарій НБУ»</w:t>
      </w:r>
    </w:p>
    <w:p w:rsidR="002654B6" w:rsidRPr="007C1D5E" w:rsidRDefault="002654B6" w:rsidP="002654B6">
      <w:pPr>
        <w:ind w:firstLine="567"/>
      </w:pPr>
    </w:p>
    <w:tbl>
      <w:tblPr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"/>
        <w:gridCol w:w="2089"/>
        <w:gridCol w:w="2853"/>
        <w:gridCol w:w="4100"/>
      </w:tblGrid>
      <w:tr w:rsidR="00726AD3" w:rsidRPr="004E1FA1" w:rsidTr="00726AD3">
        <w:tc>
          <w:tcPr>
            <w:tcW w:w="553" w:type="dxa"/>
            <w:shd w:val="clear" w:color="auto" w:fill="auto"/>
          </w:tcPr>
          <w:p w:rsidR="00160252" w:rsidRPr="004E1FA1" w:rsidRDefault="00160252" w:rsidP="00160252">
            <w:pPr>
              <w:jc w:val="center"/>
              <w:rPr>
                <w:b/>
              </w:rPr>
            </w:pPr>
            <w:r w:rsidRPr="004E1FA1">
              <w:rPr>
                <w:b/>
              </w:rPr>
              <w:t>№ з/п</w:t>
            </w:r>
          </w:p>
        </w:tc>
        <w:tc>
          <w:tcPr>
            <w:tcW w:w="2089" w:type="dxa"/>
          </w:tcPr>
          <w:p w:rsidR="00160252" w:rsidRPr="005744B8" w:rsidRDefault="00160252" w:rsidP="00160252">
            <w:pPr>
              <w:jc w:val="center"/>
              <w:rPr>
                <w:b/>
                <w:lang w:val="en-US"/>
              </w:rPr>
            </w:pPr>
            <w:r w:rsidRPr="005744B8">
              <w:rPr>
                <w:b/>
              </w:rPr>
              <w:t xml:space="preserve">Елемент </w:t>
            </w:r>
            <w:r w:rsidRPr="005744B8">
              <w:rPr>
                <w:b/>
                <w:lang w:val="en-US"/>
              </w:rPr>
              <w:t>XML</w:t>
            </w:r>
          </w:p>
        </w:tc>
        <w:tc>
          <w:tcPr>
            <w:tcW w:w="2853" w:type="dxa"/>
            <w:shd w:val="clear" w:color="auto" w:fill="auto"/>
          </w:tcPr>
          <w:p w:rsidR="00160252" w:rsidRPr="005744B8" w:rsidRDefault="00160252" w:rsidP="00160252">
            <w:pPr>
              <w:jc w:val="center"/>
              <w:rPr>
                <w:b/>
              </w:rPr>
            </w:pPr>
            <w:r w:rsidRPr="005744B8">
              <w:rPr>
                <w:b/>
              </w:rPr>
              <w:t>Призначення</w:t>
            </w:r>
          </w:p>
        </w:tc>
        <w:tc>
          <w:tcPr>
            <w:tcW w:w="4100" w:type="dxa"/>
          </w:tcPr>
          <w:p w:rsidR="00160252" w:rsidRPr="004E1FA1" w:rsidRDefault="00160252" w:rsidP="00160252">
            <w:pPr>
              <w:jc w:val="center"/>
              <w:rPr>
                <w:b/>
              </w:rPr>
            </w:pPr>
            <w:r>
              <w:rPr>
                <w:b/>
              </w:rPr>
              <w:t xml:space="preserve">Опис </w:t>
            </w:r>
          </w:p>
        </w:tc>
      </w:tr>
      <w:tr w:rsidR="00726AD3" w:rsidRPr="004E1FA1" w:rsidTr="00726AD3">
        <w:trPr>
          <w:trHeight w:val="534"/>
        </w:trPr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Z_P_NAZ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 xml:space="preserve">Назва програмного продукту </w:t>
            </w:r>
          </w:p>
        </w:tc>
        <w:tc>
          <w:tcPr>
            <w:tcW w:w="4100" w:type="dxa"/>
          </w:tcPr>
          <w:p w:rsidR="00726AD3" w:rsidRPr="00124756" w:rsidRDefault="00726AD3" w:rsidP="00726AD3">
            <w:r w:rsidRPr="00124756">
              <w:t xml:space="preserve">Система обслуговування державних облігацій та </w:t>
            </w:r>
            <w:r w:rsidRPr="00124756">
              <w:rPr>
                <w:szCs w:val="24"/>
              </w:rPr>
              <w:t xml:space="preserve">місцевих позик </w:t>
            </w:r>
            <w:r w:rsidRPr="00124756">
              <w:t>«Депозитарій НБУ»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Z_P_VERSION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>Версія програмного продукту</w:t>
            </w:r>
          </w:p>
        </w:tc>
        <w:tc>
          <w:tcPr>
            <w:tcW w:w="4100" w:type="dxa"/>
          </w:tcPr>
          <w:p w:rsidR="00726AD3" w:rsidRPr="00766800" w:rsidRDefault="00726AD3" w:rsidP="00726AD3">
            <w:r w:rsidRPr="00446CAA">
              <w:rPr>
                <w:lang w:val="en-US"/>
              </w:rPr>
              <w:t>DepoWeb 2.0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Z_PR_NAME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 xml:space="preserve">Найменування юридичної особи (П.І.Б. фізичної особи – підприємця, фізичної особи), розробника програмного продукту </w:t>
            </w:r>
          </w:p>
        </w:tc>
        <w:tc>
          <w:tcPr>
            <w:tcW w:w="4100" w:type="dxa"/>
          </w:tcPr>
          <w:p w:rsidR="00726AD3" w:rsidRDefault="00726AD3" w:rsidP="00726AD3">
            <w:pPr>
              <w:rPr>
                <w:lang w:val="ru-RU"/>
              </w:rPr>
            </w:pPr>
            <w:r w:rsidRPr="00446CAA">
              <w:rPr>
                <w:lang w:val="ru-RU"/>
              </w:rPr>
              <w:t>На</w:t>
            </w:r>
            <w:r>
              <w:rPr>
                <w:lang w:val="ru-RU"/>
              </w:rPr>
              <w:t>ціональний банк України</w:t>
            </w:r>
          </w:p>
          <w:p w:rsidR="00726AD3" w:rsidRPr="00766800" w:rsidRDefault="00726AD3" w:rsidP="00726AD3"/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Z_PR_EDR</w:t>
            </w:r>
          </w:p>
        </w:tc>
        <w:tc>
          <w:tcPr>
            <w:tcW w:w="2853" w:type="dxa"/>
            <w:shd w:val="clear" w:color="auto" w:fill="auto"/>
          </w:tcPr>
          <w:p w:rsidR="00726AD3" w:rsidRPr="00F56789" w:rsidRDefault="00726AD3" w:rsidP="00726AD3">
            <w:pPr>
              <w:rPr>
                <w:lang w:val="ru-RU"/>
              </w:rPr>
            </w:pPr>
            <w:r w:rsidRPr="00766800">
              <w:t>код за ЄДРПО</w:t>
            </w:r>
            <w:r>
              <w:t>У</w:t>
            </w:r>
            <w:r w:rsidRPr="00766800">
              <w:t xml:space="preserve"> </w:t>
            </w:r>
            <w:r w:rsidRPr="00F56789">
              <w:rPr>
                <w:szCs w:val="24"/>
              </w:rPr>
              <w:t>юридичної особи, розробника програмного продукту (для юридичної особи</w:t>
            </w:r>
            <w:r w:rsidRPr="00F56789">
              <w:rPr>
                <w:szCs w:val="24"/>
                <w:lang w:val="ru-RU"/>
              </w:rPr>
              <w:t>)</w:t>
            </w:r>
          </w:p>
        </w:tc>
        <w:tc>
          <w:tcPr>
            <w:tcW w:w="4100" w:type="dxa"/>
          </w:tcPr>
          <w:p w:rsidR="00726AD3" w:rsidRPr="00766800" w:rsidRDefault="00726AD3" w:rsidP="00726AD3">
            <w:r>
              <w:rPr>
                <w:lang w:val="ru-RU"/>
              </w:rPr>
              <w:t>00032106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Z_PR_ADR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>місцезнаходження розробни</w:t>
            </w:r>
            <w:r>
              <w:t xml:space="preserve">ка програмного продукту </w:t>
            </w:r>
          </w:p>
        </w:tc>
        <w:tc>
          <w:tcPr>
            <w:tcW w:w="4100" w:type="dxa"/>
          </w:tcPr>
          <w:p w:rsidR="00726AD3" w:rsidRPr="00704DE7" w:rsidRDefault="00726AD3" w:rsidP="00726AD3">
            <w:pPr>
              <w:rPr>
                <w:lang w:val="ru-RU"/>
              </w:rPr>
            </w:pPr>
            <w:r w:rsidRPr="00704DE7">
              <w:rPr>
                <w:lang w:val="ru-RU"/>
              </w:rPr>
              <w:t>м. Київ, вул Інститутська, б. 9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Z_PR</w:t>
            </w:r>
            <w:r>
              <w:rPr>
                <w:rFonts w:ascii="Courier New" w:hAnsi="Courier New" w:cs="Courier New"/>
                <w:b/>
                <w:lang w:val="en-US"/>
              </w:rPr>
              <w:t>_TEL</w:t>
            </w:r>
          </w:p>
        </w:tc>
        <w:tc>
          <w:tcPr>
            <w:tcW w:w="2853" w:type="dxa"/>
            <w:shd w:val="clear" w:color="auto" w:fill="auto"/>
          </w:tcPr>
          <w:p w:rsidR="00726AD3" w:rsidRPr="00794A83" w:rsidRDefault="00726AD3" w:rsidP="00726AD3">
            <w:pPr>
              <w:rPr>
                <w:lang w:val="ru-RU"/>
              </w:rPr>
            </w:pPr>
            <w:r w:rsidRPr="00766800">
              <w:t>контактні дані розробни</w:t>
            </w:r>
            <w:r>
              <w:t xml:space="preserve">ка програмного </w:t>
            </w:r>
            <w:r w:rsidRPr="00794A83">
              <w:rPr>
                <w:szCs w:val="24"/>
              </w:rPr>
              <w:t xml:space="preserve">продукту </w:t>
            </w:r>
            <w:r w:rsidRPr="00794A83">
              <w:rPr>
                <w:szCs w:val="24"/>
                <w:lang w:val="ru-RU"/>
              </w:rPr>
              <w:t xml:space="preserve">- </w:t>
            </w:r>
            <w:r w:rsidRPr="00794A83">
              <w:rPr>
                <w:szCs w:val="24"/>
              </w:rPr>
              <w:t>телефон (за наявності)</w:t>
            </w:r>
          </w:p>
        </w:tc>
        <w:tc>
          <w:tcPr>
            <w:tcW w:w="4100" w:type="dxa"/>
          </w:tcPr>
          <w:p w:rsidR="00726AD3" w:rsidRPr="00124756" w:rsidRDefault="00726AD3" w:rsidP="00726AD3">
            <w:pPr>
              <w:rPr>
                <w:lang w:val="ru-RU"/>
              </w:rPr>
            </w:pPr>
            <w:r w:rsidRPr="00124756">
              <w:rPr>
                <w:lang w:val="ru-RU"/>
              </w:rPr>
              <w:t>527-30-52 (приймальня</w:t>
            </w:r>
            <w:r w:rsidRPr="00704DE7">
              <w:rPr>
                <w:lang w:val="ru-RU"/>
              </w:rPr>
              <w:t xml:space="preserve"> </w:t>
            </w:r>
            <w:r w:rsidRPr="00124756">
              <w:rPr>
                <w:lang w:val="ru-RU"/>
              </w:rPr>
              <w:t>Департаменту інформаційних технолог</w:t>
            </w:r>
            <w:r w:rsidRPr="00704DE7">
              <w:rPr>
                <w:lang w:val="ru-RU"/>
              </w:rPr>
              <w:t>ій</w:t>
            </w:r>
            <w:r w:rsidRPr="00124756">
              <w:rPr>
                <w:lang w:val="ru-RU"/>
              </w:rPr>
              <w:t>)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Z_PR</w:t>
            </w:r>
            <w:r>
              <w:rPr>
                <w:rFonts w:ascii="Courier New" w:hAnsi="Courier New" w:cs="Courier New"/>
                <w:b/>
                <w:lang w:val="en-US"/>
              </w:rPr>
              <w:t>_MAIL</w:t>
            </w:r>
          </w:p>
        </w:tc>
        <w:tc>
          <w:tcPr>
            <w:tcW w:w="2853" w:type="dxa"/>
            <w:shd w:val="clear" w:color="auto" w:fill="auto"/>
          </w:tcPr>
          <w:p w:rsidR="00726AD3" w:rsidRPr="00794A83" w:rsidRDefault="00726AD3" w:rsidP="00726AD3">
            <w:pPr>
              <w:rPr>
                <w:lang w:val="ru-RU"/>
              </w:rPr>
            </w:pPr>
            <w:r w:rsidRPr="00766800">
              <w:t>контактні дані розробни</w:t>
            </w:r>
            <w:r>
              <w:t xml:space="preserve">ка програмного </w:t>
            </w:r>
            <w:r w:rsidRPr="00794A83">
              <w:rPr>
                <w:szCs w:val="24"/>
              </w:rPr>
              <w:t xml:space="preserve">продукту </w:t>
            </w:r>
            <w:r w:rsidRPr="00794A83">
              <w:rPr>
                <w:szCs w:val="24"/>
                <w:lang w:val="ru-RU"/>
              </w:rPr>
              <w:t xml:space="preserve">- </w:t>
            </w:r>
            <w:r w:rsidRPr="00794A83">
              <w:rPr>
                <w:szCs w:val="24"/>
              </w:rPr>
              <w:t>адреса електронної пошти (за наявності)</w:t>
            </w:r>
          </w:p>
        </w:tc>
        <w:tc>
          <w:tcPr>
            <w:tcW w:w="4100" w:type="dxa"/>
          </w:tcPr>
          <w:p w:rsidR="00726AD3" w:rsidRPr="00704DE7" w:rsidRDefault="00726AD3" w:rsidP="00726AD3">
            <w:pPr>
              <w:rPr>
                <w:lang w:val="ru-RU"/>
              </w:rPr>
            </w:pPr>
            <w:r w:rsidRPr="00704DE7">
              <w:rPr>
                <w:lang w:val="ru-RU"/>
              </w:rPr>
              <w:t>itdep@bank.gov.ua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124756" w:rsidRDefault="00726AD3" w:rsidP="00726AD3">
            <w:r w:rsidRPr="00766800">
              <w:rPr>
                <w:rFonts w:ascii="Courier New" w:hAnsi="Courier New" w:cs="Courier New"/>
                <w:b/>
              </w:rPr>
              <w:t>Z_P_DATE</w:t>
            </w:r>
          </w:p>
        </w:tc>
        <w:tc>
          <w:tcPr>
            <w:tcW w:w="2853" w:type="dxa"/>
            <w:shd w:val="clear" w:color="auto" w:fill="auto"/>
          </w:tcPr>
          <w:p w:rsidR="00726AD3" w:rsidRPr="00124756" w:rsidRDefault="00726AD3" w:rsidP="00726AD3">
            <w:r w:rsidRPr="00124756">
              <w:t>дата (орієнтовна дата) початку використання професійним учасником фондового ринку програмного продукту зазначеної версії;</w:t>
            </w:r>
          </w:p>
        </w:tc>
        <w:tc>
          <w:tcPr>
            <w:tcW w:w="4100" w:type="dxa"/>
          </w:tcPr>
          <w:p w:rsidR="00726AD3" w:rsidRPr="00704DE7" w:rsidRDefault="00726AD3" w:rsidP="00726AD3">
            <w:pPr>
              <w:rPr>
                <w:lang w:val="ru-RU"/>
              </w:rPr>
            </w:pPr>
            <w:r w:rsidRPr="00704DE7">
              <w:rPr>
                <w:lang w:val="ru-RU"/>
              </w:rPr>
              <w:t>2 квітня 2018 року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Z_P_LISENZ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>вид/види професійної діяльності, в якому використовує</w:t>
            </w:r>
            <w:r>
              <w:t xml:space="preserve">ться програмний продукт </w:t>
            </w:r>
          </w:p>
        </w:tc>
        <w:tc>
          <w:tcPr>
            <w:tcW w:w="4100" w:type="dxa"/>
          </w:tcPr>
          <w:p w:rsidR="00726AD3" w:rsidRPr="00766800" w:rsidRDefault="00726AD3" w:rsidP="00726AD3">
            <w:r>
              <w:t>депозитарна діяльність депозитарію Національного банку України, депозитарна діяльність депозитарної установи Національного банку України, а також депозитарна діяльність депозитарної установи  в частині проведення  облікових операцій, можливості побудови звітно-аналітичних форм, та формування звітності до НКЦПФР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6630C0" w:rsidRDefault="00726AD3" w:rsidP="00726AD3">
            <w:r w:rsidRPr="00766800">
              <w:rPr>
                <w:rFonts w:ascii="Courier New" w:hAnsi="Courier New" w:cs="Courier New"/>
                <w:b/>
              </w:rPr>
              <w:t>Z_P_MISION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6630C0">
              <w:t>призначення програмного продукту, стислий опис можливостей</w:t>
            </w:r>
          </w:p>
        </w:tc>
        <w:tc>
          <w:tcPr>
            <w:tcW w:w="4100" w:type="dxa"/>
          </w:tcPr>
          <w:p w:rsidR="00726AD3" w:rsidRDefault="00726AD3" w:rsidP="00726AD3">
            <w:pPr>
              <w:rPr>
                <w:color w:val="000000"/>
              </w:rPr>
            </w:pPr>
            <w:r>
              <w:rPr>
                <w:color w:val="000000"/>
              </w:rPr>
              <w:t>Програмний продукт забезпечує:</w:t>
            </w:r>
          </w:p>
          <w:p w:rsidR="00726AD3" w:rsidRDefault="00726AD3" w:rsidP="00726AD3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депозитарний облік та обіг облігацій внутрішніх та зовнішніх державних позик України, державних деривативів, цільових облігацій внутрішніх державних </w:t>
            </w:r>
            <w:r>
              <w:rPr>
                <w:color w:val="000000"/>
              </w:rPr>
              <w:lastRenderedPageBreak/>
              <w:t>позик України, казначейських зобов’язань України та облігацій місцевих позик, а також боргових цінних паперів, що посвідчують відносини позики органів місцевого самоврядування, які були розміщені за межами України на рахунках у цінних паперах клієнтів</w:t>
            </w:r>
            <w:r w:rsidRPr="00704DE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депозитарію Національного банку України;- обслуговування корпоративних операцій емітента на рахунках у цінних паперах клієнтів депозитарію Національного банку України;</w:t>
            </w:r>
          </w:p>
          <w:p w:rsidR="00726AD3" w:rsidRDefault="00726AD3" w:rsidP="00726AD3">
            <w:pPr>
              <w:rPr>
                <w:color w:val="000000"/>
              </w:rPr>
            </w:pPr>
            <w:r>
              <w:rPr>
                <w:color w:val="000000"/>
              </w:rPr>
              <w:t>- проведення грошового клірингу за операціями з облігаціями внутрішніх державних позик;</w:t>
            </w:r>
          </w:p>
          <w:p w:rsidR="00726AD3" w:rsidRDefault="00726AD3" w:rsidP="00726AD3">
            <w:pPr>
              <w:rPr>
                <w:color w:val="000000"/>
              </w:rPr>
            </w:pPr>
            <w:r>
              <w:rPr>
                <w:color w:val="000000"/>
              </w:rPr>
              <w:t>- взаємодію з програмними комплексами Національного банку України та електронними торговельними системами для забезпечення проведення операцій з розміщення облігацій внутрішніх державних позик;</w:t>
            </w:r>
          </w:p>
          <w:p w:rsidR="00726AD3" w:rsidRDefault="00726AD3" w:rsidP="00726AD3">
            <w:pPr>
              <w:rPr>
                <w:color w:val="000000"/>
              </w:rPr>
            </w:pPr>
            <w:r>
              <w:rPr>
                <w:color w:val="000000"/>
              </w:rPr>
              <w:t>- взаємодію з програмними комплексами Національного банку України для забезпечення проведення операцій з підтримання ліквідності;</w:t>
            </w:r>
          </w:p>
          <w:p w:rsidR="00726AD3" w:rsidRDefault="00726AD3" w:rsidP="00726AD3">
            <w:pPr>
              <w:rPr>
                <w:color w:val="000000"/>
              </w:rPr>
            </w:pPr>
            <w:r>
              <w:rPr>
                <w:color w:val="000000"/>
              </w:rPr>
              <w:t>- взаємодію із Системою електронних платежів Національного банку України для забезпечення розрахунків «оплата проти поставки цінних паперів»;</w:t>
            </w:r>
          </w:p>
          <w:p w:rsidR="00726AD3" w:rsidRDefault="00726AD3" w:rsidP="00726AD3">
            <w:pPr>
              <w:rPr>
                <w:color w:val="000000"/>
              </w:rPr>
            </w:pPr>
            <w:r>
              <w:rPr>
                <w:color w:val="000000"/>
              </w:rPr>
              <w:t>- взаємодію з кліринговою установою та центральним контрагентом для забезпечення розрахунків «поставка цінних паперів проти оплати»;</w:t>
            </w:r>
          </w:p>
          <w:p w:rsidR="00726AD3" w:rsidRDefault="00726AD3" w:rsidP="00726AD3">
            <w:pPr>
              <w:rPr>
                <w:color w:val="000000"/>
              </w:rPr>
            </w:pPr>
            <w:r>
              <w:rPr>
                <w:color w:val="000000"/>
              </w:rPr>
              <w:t>- формування звітно-аналітичних форм за рахунками в цінних паперах клієнтів депозитарію Національного банку України;</w:t>
            </w:r>
          </w:p>
          <w:p w:rsidR="00726AD3" w:rsidRPr="006630C0" w:rsidRDefault="00726AD3" w:rsidP="00726AD3">
            <w:pPr>
              <w:rPr>
                <w:strike/>
              </w:rPr>
            </w:pP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FP_DOCS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 xml:space="preserve">перелік документації </w:t>
            </w:r>
            <w:r>
              <w:t>до програмного продукту</w:t>
            </w:r>
            <w:r w:rsidRPr="00766800">
              <w:t>, яка є у розпорядженні заявника</w:t>
            </w:r>
          </w:p>
        </w:tc>
        <w:tc>
          <w:tcPr>
            <w:tcW w:w="4100" w:type="dxa"/>
          </w:tcPr>
          <w:p w:rsidR="00726AD3" w:rsidRPr="00DB73EA" w:rsidRDefault="00726AD3" w:rsidP="00726AD3">
            <w:pPr>
              <w:rPr>
                <w:lang w:val="ru-RU"/>
              </w:rPr>
            </w:pPr>
            <w:r>
              <w:t>інструкції користувач</w:t>
            </w:r>
            <w:r>
              <w:rPr>
                <w:lang w:val="ru-RU"/>
              </w:rPr>
              <w:t>а</w:t>
            </w:r>
            <w:r w:rsidRPr="009579CE">
              <w:rPr>
                <w:lang w:val="ru-RU"/>
              </w:rPr>
              <w:t xml:space="preserve"> </w:t>
            </w:r>
            <w:r>
              <w:t>депозитарн</w:t>
            </w:r>
            <w:r>
              <w:rPr>
                <w:lang w:val="ru-RU"/>
              </w:rPr>
              <w:t>о</w:t>
            </w:r>
            <w:r>
              <w:t>ї установи</w:t>
            </w:r>
            <w:r w:rsidRPr="00DB73EA">
              <w:rPr>
                <w:lang w:val="ru-RU"/>
              </w:rPr>
              <w:t>:</w:t>
            </w:r>
          </w:p>
          <w:p w:rsidR="00726AD3" w:rsidRDefault="00726AD3" w:rsidP="00726AD3">
            <w:pPr>
              <w:pStyle w:val="Default"/>
              <w:numPr>
                <w:ilvl w:val="0"/>
                <w:numId w:val="27"/>
              </w:numPr>
              <w:tabs>
                <w:tab w:val="left" w:pos="196"/>
              </w:tabs>
              <w:ind w:left="53" w:firstLine="0"/>
            </w:pPr>
            <w:r w:rsidRPr="00DB73EA">
              <w:rPr>
                <w:lang w:val="ru-RU"/>
              </w:rPr>
              <w:t>“</w:t>
            </w:r>
            <w:r w:rsidRPr="00DB73EA">
              <w:rPr>
                <w:szCs w:val="20"/>
              </w:rPr>
              <w:t>Опис виконання розпоряджень з цінними паперами в системі</w:t>
            </w:r>
            <w:r w:rsidRPr="00DB73EA">
              <w:rPr>
                <w:szCs w:val="20"/>
                <w:lang w:val="ru-RU"/>
              </w:rPr>
              <w:t xml:space="preserve"> </w:t>
            </w:r>
          </w:p>
          <w:p w:rsidR="00726AD3" w:rsidRPr="00DB73EA" w:rsidRDefault="00726AD3" w:rsidP="00726AD3">
            <w:pPr>
              <w:pStyle w:val="Default"/>
            </w:pPr>
            <w:r>
              <w:t xml:space="preserve"> </w:t>
            </w:r>
            <w:r w:rsidRPr="00DB73EA">
              <w:rPr>
                <w:szCs w:val="20"/>
              </w:rPr>
              <w:t>обслуговування обігу державних облігацій України та облігацій місцевих позик Депозитарій НБУ</w:t>
            </w:r>
            <w:r w:rsidRPr="00DB73EA">
              <w:t>”;</w:t>
            </w:r>
          </w:p>
          <w:p w:rsidR="00726AD3" w:rsidRDefault="00726AD3" w:rsidP="00726AD3">
            <w:pPr>
              <w:pStyle w:val="Default"/>
              <w:numPr>
                <w:ilvl w:val="0"/>
                <w:numId w:val="27"/>
              </w:numPr>
              <w:tabs>
                <w:tab w:val="left" w:pos="196"/>
              </w:tabs>
              <w:ind w:left="53" w:firstLine="0"/>
              <w:rPr>
                <w:szCs w:val="20"/>
                <w:lang w:val="ru-RU"/>
              </w:rPr>
            </w:pPr>
            <w:r w:rsidRPr="00DB73EA">
              <w:rPr>
                <w:lang w:val="ru-RU"/>
              </w:rPr>
              <w:t>“</w:t>
            </w:r>
            <w:r w:rsidRPr="00DB73EA">
              <w:rPr>
                <w:szCs w:val="20"/>
              </w:rPr>
              <w:t>Опис виконання операцій з ОЗДП в системі обслуговування обігу державних облігацій України”</w:t>
            </w:r>
            <w:r w:rsidRPr="00DB73EA">
              <w:rPr>
                <w:szCs w:val="20"/>
                <w:lang w:val="ru-RU"/>
              </w:rPr>
              <w:t>;</w:t>
            </w:r>
          </w:p>
          <w:p w:rsidR="00726AD3" w:rsidRPr="00DB73EA" w:rsidRDefault="00726AD3" w:rsidP="00726AD3">
            <w:pPr>
              <w:pStyle w:val="Default"/>
              <w:numPr>
                <w:ilvl w:val="0"/>
                <w:numId w:val="27"/>
              </w:numPr>
              <w:tabs>
                <w:tab w:val="left" w:pos="196"/>
              </w:tabs>
              <w:ind w:left="53" w:firstLine="0"/>
              <w:rPr>
                <w:sz w:val="23"/>
                <w:szCs w:val="23"/>
                <w:lang w:val="ru-RU"/>
              </w:rPr>
            </w:pPr>
            <w:r w:rsidRPr="00DB73EA">
              <w:rPr>
                <w:lang w:val="ru-RU"/>
              </w:rPr>
              <w:t>“</w:t>
            </w:r>
            <w:r w:rsidRPr="00DB73EA">
              <w:rPr>
                <w:szCs w:val="20"/>
              </w:rPr>
              <w:t>Опис роботи з довідниками «Рахунки та договори ДУ»”</w:t>
            </w:r>
            <w:r w:rsidRPr="00DB73EA">
              <w:rPr>
                <w:szCs w:val="20"/>
                <w:lang w:val="ru-RU"/>
              </w:rPr>
              <w:t>;</w:t>
            </w:r>
          </w:p>
          <w:p w:rsidR="00726AD3" w:rsidRDefault="00726AD3" w:rsidP="00726AD3">
            <w:pPr>
              <w:pStyle w:val="Default"/>
              <w:numPr>
                <w:ilvl w:val="0"/>
                <w:numId w:val="27"/>
              </w:numPr>
              <w:tabs>
                <w:tab w:val="left" w:pos="196"/>
              </w:tabs>
              <w:ind w:left="53" w:firstLine="0"/>
              <w:rPr>
                <w:sz w:val="23"/>
                <w:szCs w:val="23"/>
                <w:lang w:val="ru-RU"/>
              </w:rPr>
            </w:pPr>
            <w:r w:rsidRPr="00DB73EA">
              <w:rPr>
                <w:sz w:val="23"/>
                <w:szCs w:val="23"/>
                <w:lang w:val="ru-RU"/>
              </w:rPr>
              <w:lastRenderedPageBreak/>
              <w:t>“</w:t>
            </w:r>
            <w:r w:rsidRPr="00DB73EA">
              <w:rPr>
                <w:sz w:val="23"/>
                <w:szCs w:val="23"/>
              </w:rPr>
              <w:t>Формування звітних та аналітичних форм</w:t>
            </w:r>
            <w:r w:rsidRPr="00DB73EA">
              <w:rPr>
                <w:sz w:val="23"/>
                <w:szCs w:val="23"/>
                <w:lang w:val="ru-RU"/>
              </w:rPr>
              <w:t>”;</w:t>
            </w:r>
          </w:p>
          <w:p w:rsidR="00726AD3" w:rsidRPr="005B0861" w:rsidRDefault="00726AD3" w:rsidP="00726AD3">
            <w:pPr>
              <w:pStyle w:val="Default"/>
              <w:numPr>
                <w:ilvl w:val="0"/>
                <w:numId w:val="27"/>
              </w:numPr>
              <w:tabs>
                <w:tab w:val="left" w:pos="196"/>
              </w:tabs>
              <w:ind w:left="53" w:firstLine="0"/>
              <w:rPr>
                <w:szCs w:val="20"/>
              </w:rPr>
            </w:pPr>
            <w:r w:rsidRPr="005B0861">
              <w:rPr>
                <w:szCs w:val="20"/>
                <w:lang w:val="ru-RU"/>
              </w:rPr>
              <w:t>“</w:t>
            </w:r>
            <w:r w:rsidRPr="005B0861">
              <w:rPr>
                <w:szCs w:val="20"/>
              </w:rPr>
              <w:t>Опис API-взаємодії системи автоматизації Депозитарної установи з системою Депозитарія НБУ</w:t>
            </w:r>
            <w:r>
              <w:rPr>
                <w:szCs w:val="20"/>
                <w:lang w:val="en-US"/>
              </w:rPr>
              <w:t>”</w:t>
            </w:r>
            <w:r>
              <w:rPr>
                <w:szCs w:val="20"/>
              </w:rPr>
              <w:t>.</w:t>
            </w:r>
          </w:p>
          <w:p w:rsidR="00726AD3" w:rsidRPr="0095526F" w:rsidRDefault="00726AD3" w:rsidP="00726AD3">
            <w:pPr>
              <w:rPr>
                <w:lang w:val="ru-RU"/>
              </w:rPr>
            </w:pPr>
            <w:r>
              <w:t xml:space="preserve">Інструкції користувача розміщено в розділі </w:t>
            </w:r>
            <w:r w:rsidRPr="0095526F">
              <w:rPr>
                <w:lang w:val="ru-RU"/>
              </w:rPr>
              <w:t>“</w:t>
            </w:r>
            <w:r>
              <w:rPr>
                <w:lang w:val="ru-RU"/>
              </w:rPr>
              <w:t>Корисн</w:t>
            </w:r>
            <w:r>
              <w:t>і</w:t>
            </w:r>
            <w:r>
              <w:rPr>
                <w:lang w:val="ru-RU"/>
              </w:rPr>
              <w:t xml:space="preserve"> матеріали</w:t>
            </w:r>
            <w:r w:rsidRPr="0095526F">
              <w:rPr>
                <w:lang w:val="ru-RU"/>
              </w:rPr>
              <w:t>”</w:t>
            </w:r>
            <w:r>
              <w:rPr>
                <w:lang w:val="ru-RU"/>
              </w:rPr>
              <w:t xml:space="preserve"> </w:t>
            </w:r>
          </w:p>
          <w:p w:rsidR="00726AD3" w:rsidRPr="005E448F" w:rsidRDefault="00726AD3" w:rsidP="00726AD3">
            <w:pPr>
              <w:pStyle w:val="Default"/>
              <w:tabs>
                <w:tab w:val="left" w:pos="196"/>
              </w:tabs>
              <w:ind w:left="53"/>
              <w:rPr>
                <w:lang w:val="ru-RU"/>
              </w:rPr>
            </w:pPr>
            <w:r>
              <w:t>Інструкція користувачів центрального контрагента/клірингової установи</w:t>
            </w:r>
            <w:r w:rsidRPr="005E448F">
              <w:rPr>
                <w:lang w:val="ru-RU"/>
              </w:rPr>
              <w:t>:</w:t>
            </w:r>
          </w:p>
          <w:p w:rsidR="00726AD3" w:rsidRPr="003C645A" w:rsidRDefault="00726AD3" w:rsidP="00726AD3">
            <w:pPr>
              <w:pStyle w:val="Default"/>
              <w:numPr>
                <w:ilvl w:val="0"/>
                <w:numId w:val="27"/>
              </w:numPr>
              <w:tabs>
                <w:tab w:val="left" w:pos="196"/>
              </w:tabs>
              <w:ind w:left="53" w:firstLine="0"/>
              <w:rPr>
                <w:lang w:val="ru-RU"/>
              </w:rPr>
            </w:pPr>
            <w:r w:rsidRPr="005E448F">
              <w:rPr>
                <w:lang w:val="ru-RU"/>
              </w:rPr>
              <w:t>“АРМ Розрахункового центру/</w:t>
            </w:r>
            <w:r>
              <w:rPr>
                <w:lang w:val="ru-RU"/>
              </w:rPr>
              <w:t xml:space="preserve"> </w:t>
            </w:r>
            <w:r w:rsidRPr="005E448F">
              <w:rPr>
                <w:lang w:val="ru-RU"/>
              </w:rPr>
              <w:t>клірингової установи”.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0E5260" w:rsidRDefault="00726AD3" w:rsidP="00726AD3">
            <w:r w:rsidRPr="00766800">
              <w:rPr>
                <w:rFonts w:ascii="Courier New" w:hAnsi="Courier New" w:cs="Courier New"/>
                <w:b/>
              </w:rPr>
              <w:t>FP_FUNCT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0E5260">
              <w:t>опис функціональних можливостей програмного продукту</w:t>
            </w:r>
            <w:r w:rsidRPr="00766800">
              <w:t xml:space="preserve"> </w:t>
            </w:r>
          </w:p>
        </w:tc>
        <w:tc>
          <w:tcPr>
            <w:tcW w:w="4100" w:type="dxa"/>
          </w:tcPr>
          <w:p w:rsidR="00726AD3" w:rsidRPr="00153C83" w:rsidRDefault="00726AD3" w:rsidP="00726AD3">
            <w:pPr>
              <w:pStyle w:val="a8"/>
              <w:spacing w:line="259" w:lineRule="auto"/>
              <w:ind w:left="0"/>
              <w:contextualSpacing w:val="0"/>
            </w:pPr>
            <w:r>
              <w:t>1)</w:t>
            </w:r>
            <w:r w:rsidRPr="00647A7D">
              <w:rPr>
                <w:lang w:val="en-US"/>
              </w:rPr>
              <w:t>Web</w:t>
            </w:r>
            <w:r w:rsidRPr="00153C83">
              <w:t>-кл</w:t>
            </w:r>
            <w:r>
              <w:t>ієнти для користувачівсистеми</w:t>
            </w:r>
            <w:r w:rsidRPr="00153C83">
              <w:t>,</w:t>
            </w:r>
            <w:r w:rsidRPr="009579CE">
              <w:rPr>
                <w:szCs w:val="24"/>
              </w:rPr>
              <w:t xml:space="preserve"> </w:t>
            </w:r>
            <w:r>
              <w:rPr>
                <w:szCs w:val="24"/>
              </w:rPr>
              <w:t>що</w:t>
            </w:r>
            <w:r w:rsidRPr="009579CE">
              <w:rPr>
                <w:szCs w:val="24"/>
              </w:rPr>
              <w:t xml:space="preserve"> запускаються в Web-порталі САІМП</w:t>
            </w:r>
            <w:r>
              <w:rPr>
                <w:szCs w:val="24"/>
                <w:lang w:val="ru-RU"/>
              </w:rPr>
              <w:t>.</w:t>
            </w:r>
          </w:p>
          <w:p w:rsidR="00726AD3" w:rsidRDefault="00726AD3" w:rsidP="00726AD3">
            <w:pPr>
              <w:pStyle w:val="a8"/>
              <w:spacing w:line="259" w:lineRule="auto"/>
              <w:ind w:left="0"/>
              <w:rPr>
                <w:szCs w:val="24"/>
              </w:rPr>
            </w:pPr>
            <w:r w:rsidRPr="006A348C">
              <w:rPr>
                <w:szCs w:val="24"/>
              </w:rPr>
              <w:t xml:space="preserve">2) </w:t>
            </w:r>
            <w:r>
              <w:rPr>
                <w:szCs w:val="24"/>
              </w:rPr>
              <w:t>Відкриття рахунків в цінних паперах депозитарним установам та їх депонентам відповідно до типу депонента.</w:t>
            </w:r>
          </w:p>
          <w:p w:rsidR="00726AD3" w:rsidRDefault="00726AD3" w:rsidP="00726AD3">
            <w:pPr>
              <w:pStyle w:val="a8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3) </w:t>
            </w:r>
            <w:r w:rsidRPr="006A348C">
              <w:rPr>
                <w:szCs w:val="24"/>
              </w:rPr>
              <w:t>Здійснення облікових операцій</w:t>
            </w:r>
            <w:r>
              <w:rPr>
                <w:szCs w:val="24"/>
              </w:rPr>
              <w:t xml:space="preserve"> з ЦП на рахунках в цінних паперах в підсистемі </w:t>
            </w:r>
            <w:r w:rsidRPr="009825C0">
              <w:rPr>
                <w:szCs w:val="24"/>
              </w:rPr>
              <w:t>“</w:t>
            </w:r>
            <w:r>
              <w:rPr>
                <w:szCs w:val="24"/>
              </w:rPr>
              <w:t>Депооблік</w:t>
            </w:r>
            <w:r w:rsidRPr="009825C0">
              <w:rPr>
                <w:szCs w:val="24"/>
              </w:rPr>
              <w:t>”</w:t>
            </w:r>
            <w:r>
              <w:rPr>
                <w:szCs w:val="24"/>
              </w:rPr>
              <w:t>.</w:t>
            </w:r>
          </w:p>
          <w:p w:rsidR="00726AD3" w:rsidRDefault="00726AD3" w:rsidP="00726AD3">
            <w:pPr>
              <w:pStyle w:val="a8"/>
              <w:spacing w:line="259" w:lineRule="auto"/>
              <w:ind w:left="0"/>
            </w:pPr>
            <w:r>
              <w:rPr>
                <w:szCs w:val="24"/>
              </w:rPr>
              <w:t>4</w:t>
            </w:r>
            <w:r w:rsidRPr="006A348C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  <w:r>
              <w:t>Ведення обов</w:t>
            </w:r>
            <w:r w:rsidRPr="009825C0">
              <w:t>’</w:t>
            </w:r>
            <w:r>
              <w:t>язкових журналів обліку операцій з ЦП згідно з діючим законодавством України.</w:t>
            </w:r>
          </w:p>
          <w:p w:rsidR="00726AD3" w:rsidRPr="009E7721" w:rsidRDefault="00726AD3" w:rsidP="00726AD3">
            <w:pPr>
              <w:pStyle w:val="a8"/>
              <w:spacing w:line="259" w:lineRule="auto"/>
              <w:ind w:left="0"/>
            </w:pPr>
            <w:r>
              <w:t xml:space="preserve">5) Формування звітності депозитарної установи в підсистемі </w:t>
            </w:r>
            <w:r w:rsidRPr="009579CE">
              <w:t>“</w:t>
            </w:r>
            <w:r>
              <w:t>Звітно-аналітичні</w:t>
            </w:r>
            <w:r w:rsidRPr="009E7721">
              <w:t xml:space="preserve"> форм”</w:t>
            </w:r>
            <w:r>
              <w:t xml:space="preserve"> за запитом розпорядника рахунку в ЦП</w:t>
            </w:r>
            <w:r w:rsidRPr="009E7721">
              <w:t>.</w:t>
            </w:r>
          </w:p>
          <w:p w:rsidR="00726AD3" w:rsidRDefault="00726AD3" w:rsidP="00726AD3">
            <w:pPr>
              <w:pStyle w:val="a8"/>
              <w:spacing w:line="259" w:lineRule="auto"/>
              <w:ind w:left="0"/>
            </w:pPr>
            <w:r>
              <w:t>6</w:t>
            </w:r>
            <w:r w:rsidRPr="009E7721">
              <w:t xml:space="preserve">) </w:t>
            </w:r>
            <w:r w:rsidRPr="0095526F">
              <w:t>Підготовка даних для формування</w:t>
            </w:r>
            <w:r w:rsidRPr="009E7721">
              <w:t xml:space="preserve"> щоденної та квартальної звітності </w:t>
            </w:r>
            <w:r>
              <w:t>для</w:t>
            </w:r>
            <w:r w:rsidRPr="009E7721">
              <w:t xml:space="preserve"> НКЦПФР в підсистемі “Звітно-аналітичні форми”.</w:t>
            </w:r>
          </w:p>
          <w:p w:rsidR="00726AD3" w:rsidRDefault="00726AD3" w:rsidP="00726AD3">
            <w:pPr>
              <w:pStyle w:val="a8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7) Налаштування повноважень розпорядників рахунку в цінних паперах.</w:t>
            </w:r>
          </w:p>
          <w:p w:rsidR="00726AD3" w:rsidRPr="0095526F" w:rsidRDefault="00726AD3" w:rsidP="00726AD3">
            <w:pPr>
              <w:pStyle w:val="a8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8) Накладання </w:t>
            </w:r>
            <w:r w:rsidRPr="003C26B0">
              <w:t>контрольн</w:t>
            </w:r>
            <w:r>
              <w:t>ого</w:t>
            </w:r>
            <w:r w:rsidRPr="003C26B0">
              <w:t xml:space="preserve"> підпис</w:t>
            </w:r>
            <w:r>
              <w:t>у</w:t>
            </w:r>
            <w:r w:rsidRPr="003C26B0">
              <w:t xml:space="preserve"> </w:t>
            </w:r>
            <w:r>
              <w:t xml:space="preserve">розпорядника </w:t>
            </w:r>
            <w:r>
              <w:rPr>
                <w:szCs w:val="24"/>
              </w:rPr>
              <w:t>рахунку в цінних паперах</w:t>
            </w:r>
            <w:r>
              <w:t xml:space="preserve"> для електронного розпорядження - </w:t>
            </w:r>
            <w:r w:rsidRPr="003C26B0">
              <w:t>«правило чотирьох очей»</w:t>
            </w:r>
            <w:r>
              <w:t>.</w:t>
            </w:r>
          </w:p>
          <w:p w:rsidR="00726AD3" w:rsidRDefault="00726AD3" w:rsidP="00726AD3">
            <w:pPr>
              <w:pStyle w:val="a8"/>
              <w:spacing w:line="259" w:lineRule="auto"/>
              <w:ind w:left="0"/>
            </w:pPr>
            <w:r w:rsidRPr="00E932F8">
              <w:t>9</w:t>
            </w:r>
            <w:r>
              <w:t>)</w:t>
            </w:r>
            <w:r w:rsidRPr="00E37A72">
              <w:t xml:space="preserve"> </w:t>
            </w:r>
            <w:r>
              <w:rPr>
                <w:lang w:val="en-US"/>
              </w:rPr>
              <w:t>API</w:t>
            </w:r>
            <w:r w:rsidRPr="00E37A72">
              <w:t>-серв</w:t>
            </w:r>
            <w:r>
              <w:t>іси для забезпечення автоматизації взаємодії систем автоматизації депозитарних установ з Депозитарієм НБУ</w:t>
            </w:r>
            <w:r w:rsidRPr="0095526F">
              <w:t>.</w:t>
            </w:r>
          </w:p>
          <w:p w:rsidR="00726AD3" w:rsidRDefault="00726AD3" w:rsidP="00726AD3">
            <w:pPr>
              <w:pStyle w:val="a8"/>
              <w:spacing w:line="259" w:lineRule="auto"/>
              <w:ind w:left="0"/>
            </w:pPr>
            <w:r w:rsidRPr="00E932F8">
              <w:t>10</w:t>
            </w:r>
            <w:r>
              <w:t xml:space="preserve">) Автоматизація  процесу взаємодії депозитарія НБУ та   </w:t>
            </w:r>
            <w:r w:rsidRPr="00B916B8">
              <w:t>Публічн</w:t>
            </w:r>
            <w:r>
              <w:t>ого</w:t>
            </w:r>
            <w:r w:rsidRPr="00B916B8">
              <w:t xml:space="preserve"> акціонерн</w:t>
            </w:r>
            <w:r>
              <w:t>ого</w:t>
            </w:r>
            <w:r w:rsidRPr="00B916B8">
              <w:t xml:space="preserve"> товариств</w:t>
            </w:r>
            <w:r>
              <w:t>а</w:t>
            </w:r>
            <w:r w:rsidRPr="00B916B8">
              <w:t xml:space="preserve"> “Розрахунковий центр з обслуговування договорів на </w:t>
            </w:r>
            <w:r w:rsidRPr="00B916B8">
              <w:lastRenderedPageBreak/>
              <w:t>фінансових ринках”</w:t>
            </w:r>
            <w:r>
              <w:t xml:space="preserve"> для забезпечення виконання</w:t>
            </w:r>
            <w:r>
              <w:rPr>
                <w:color w:val="000000"/>
              </w:rPr>
              <w:t xml:space="preserve"> правочинів щодо ЦП з розрахунком за принципом “поставка цінних паперів проти оплати”</w:t>
            </w:r>
            <w:r w:rsidRPr="00E37A72">
              <w:t>.</w:t>
            </w:r>
          </w:p>
          <w:p w:rsidR="00726AD3" w:rsidRDefault="00726AD3" w:rsidP="00726AD3">
            <w:pPr>
              <w:pStyle w:val="a8"/>
              <w:spacing w:line="259" w:lineRule="auto"/>
              <w:ind w:left="0"/>
              <w:rPr>
                <w:rFonts w:eastAsia="MS Mincho"/>
              </w:rPr>
            </w:pPr>
            <w:r w:rsidRPr="00E932F8">
              <w:rPr>
                <w:lang w:val="ru-RU"/>
              </w:rPr>
              <w:t>11</w:t>
            </w:r>
            <w:r>
              <w:t xml:space="preserve">) Формування повідомлення </w:t>
            </w:r>
            <w:r>
              <w:rPr>
                <w:rFonts w:eastAsia="MS Mincho"/>
              </w:rPr>
              <w:t xml:space="preserve">про необхідність перерахування грошових коштів для забезпечення розрахунків за операціями </w:t>
            </w:r>
            <w:r>
              <w:rPr>
                <w:color w:val="000000"/>
              </w:rPr>
              <w:t>з розрахунком за принципом “ оплата проти поставки цінних паперів”</w:t>
            </w:r>
            <w:r>
              <w:rPr>
                <w:rFonts w:eastAsia="MS Mincho"/>
              </w:rPr>
              <w:t>.</w:t>
            </w:r>
          </w:p>
          <w:p w:rsidR="00726AD3" w:rsidRDefault="00726AD3" w:rsidP="00726AD3">
            <w:pPr>
              <w:pStyle w:val="a8"/>
              <w:spacing w:line="259" w:lineRule="auto"/>
              <w:ind w:left="0"/>
              <w:rPr>
                <w:rFonts w:eastAsia="MS Mincho"/>
              </w:rPr>
            </w:pPr>
            <w:r>
              <w:rPr>
                <w:rFonts w:eastAsia="MS Mincho"/>
              </w:rPr>
              <w:t xml:space="preserve">12) Контроль терміну дії ключів та повноважень розпорядників рахунку в  цінних паперах. </w:t>
            </w:r>
          </w:p>
          <w:p w:rsidR="00726AD3" w:rsidRPr="00766800" w:rsidRDefault="00726AD3" w:rsidP="002E5528">
            <w:pPr>
              <w:pStyle w:val="a8"/>
              <w:spacing w:line="259" w:lineRule="auto"/>
              <w:ind w:left="0"/>
            </w:pPr>
            <w:r>
              <w:rPr>
                <w:rFonts w:eastAsia="MS Mincho"/>
              </w:rPr>
              <w:t>13) Автоматичне формування та розсилка повідомлень про закінчення терміну повноважень/дії ключів розпорядників рахунку в цінних паперів засобами  електронної пошти.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FP_FUNCTBOT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>зазначити, чи використовується програмний продукт як бот</w:t>
            </w:r>
          </w:p>
          <w:p w:rsidR="00726AD3" w:rsidRPr="00F91B8C" w:rsidRDefault="00726AD3" w:rsidP="00726AD3">
            <w:r w:rsidRPr="00766800">
              <w:t>«0» - ні, «1» -так</w:t>
            </w:r>
            <w:r w:rsidRPr="00F91B8C">
              <w:t xml:space="preserve"> </w:t>
            </w:r>
            <w:r w:rsidRPr="00766800">
              <w:t>(у разі здійснення операцій з торгівлі цінними паперами на фондовій біржі)</w:t>
            </w:r>
          </w:p>
        </w:tc>
        <w:tc>
          <w:tcPr>
            <w:tcW w:w="4100" w:type="dxa"/>
          </w:tcPr>
          <w:p w:rsidR="00726AD3" w:rsidRPr="006630C0" w:rsidRDefault="00726AD3" w:rsidP="00726AD3">
            <w:r w:rsidRPr="006630C0">
              <w:t>0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F91B8C" w:rsidRDefault="00726AD3" w:rsidP="00726AD3">
            <w:r w:rsidRPr="00766800">
              <w:rPr>
                <w:rFonts w:ascii="Courier New" w:hAnsi="Courier New" w:cs="Courier New"/>
                <w:b/>
              </w:rPr>
              <w:t>FP_APROTECT</w:t>
            </w:r>
          </w:p>
        </w:tc>
        <w:tc>
          <w:tcPr>
            <w:tcW w:w="2853" w:type="dxa"/>
            <w:shd w:val="clear" w:color="auto" w:fill="auto"/>
          </w:tcPr>
          <w:p w:rsidR="00726AD3" w:rsidRPr="00F91B8C" w:rsidRDefault="00726AD3" w:rsidP="00726AD3">
            <w:r w:rsidRPr="00F91B8C">
              <w:t>опис реалізованих механізмів (процедур) для унеможливлення несанкціонованого знищення/модифікації, підроблення, копіювання інформації (для програмних продуктів, які використовуються професійними учасниками депозитарної системи України) у тому числі дублювання системних, програмно-технічних засобів для забезпечення збереження інформації та унеможливлення її знищення</w:t>
            </w:r>
          </w:p>
        </w:tc>
        <w:tc>
          <w:tcPr>
            <w:tcW w:w="4100" w:type="dxa"/>
          </w:tcPr>
          <w:p w:rsidR="00726AD3" w:rsidRDefault="00726AD3" w:rsidP="00726AD3">
            <w:pPr>
              <w:pStyle w:val="a8"/>
              <w:numPr>
                <w:ilvl w:val="0"/>
                <w:numId w:val="28"/>
              </w:numPr>
              <w:tabs>
                <w:tab w:val="left" w:pos="337"/>
              </w:tabs>
              <w:spacing w:line="259" w:lineRule="auto"/>
              <w:ind w:left="53" w:hanging="53"/>
            </w:pPr>
            <w:r w:rsidRPr="003E25C9">
              <w:t xml:space="preserve">Система обслуговування державних облігацій та </w:t>
            </w:r>
            <w:r w:rsidRPr="00F85086">
              <w:rPr>
                <w:szCs w:val="24"/>
              </w:rPr>
              <w:t xml:space="preserve">місцевих позик </w:t>
            </w:r>
            <w:r w:rsidRPr="003E25C9">
              <w:t>«Депозитарій НБУ»</w:t>
            </w:r>
            <w:r>
              <w:t xml:space="preserve"> входить до складу програмно-технічного комплексу систем автоматизації інструментів монетарної політики (далі – САІМП), </w:t>
            </w:r>
          </w:p>
          <w:p w:rsidR="00726AD3" w:rsidRDefault="00726AD3" w:rsidP="00726AD3">
            <w:pPr>
              <w:pStyle w:val="a8"/>
              <w:tabs>
                <w:tab w:val="left" w:pos="337"/>
              </w:tabs>
              <w:spacing w:line="259" w:lineRule="auto"/>
              <w:ind w:left="0"/>
            </w:pPr>
            <w:r>
              <w:t xml:space="preserve">працює за </w:t>
            </w:r>
            <w:r w:rsidRPr="003E25C9">
              <w:t>класичною схемою трьохрівневої моделі архітектури клієнт-сервер</w:t>
            </w:r>
            <w:r>
              <w:t>.</w:t>
            </w:r>
          </w:p>
          <w:p w:rsidR="00726AD3" w:rsidRPr="001F6670" w:rsidRDefault="00726AD3" w:rsidP="00726AD3">
            <w:pPr>
              <w:pStyle w:val="a8"/>
              <w:tabs>
                <w:tab w:val="left" w:pos="337"/>
              </w:tabs>
              <w:spacing w:line="259" w:lineRule="auto"/>
              <w:ind w:left="0"/>
            </w:pPr>
            <w:r>
              <w:rPr>
                <w:szCs w:val="24"/>
              </w:rPr>
              <w:t xml:space="preserve">2)Серверна частина ІТ-ресурсу САІМП функціонує в </w:t>
            </w:r>
            <w:r w:rsidRPr="00C61803">
              <w:rPr>
                <w:szCs w:val="24"/>
              </w:rPr>
              <w:t>геог</w:t>
            </w:r>
            <w:r>
              <w:rPr>
                <w:szCs w:val="24"/>
              </w:rPr>
              <w:t>р</w:t>
            </w:r>
            <w:r w:rsidRPr="00C61803">
              <w:rPr>
                <w:szCs w:val="24"/>
              </w:rPr>
              <w:t xml:space="preserve">афічно- розподіленому віртуальному середовищі VMware </w:t>
            </w:r>
            <w:r w:rsidRPr="00C61803">
              <w:rPr>
                <w:szCs w:val="24"/>
                <w:lang w:val="en-US"/>
              </w:rPr>
              <w:t>v</w:t>
            </w:r>
            <w:r w:rsidRPr="00C61803">
              <w:rPr>
                <w:szCs w:val="24"/>
              </w:rPr>
              <w:t>Cloud</w:t>
            </w:r>
            <w:r>
              <w:t>,</w:t>
            </w:r>
          </w:p>
          <w:p w:rsidR="00726AD3" w:rsidRPr="00400332" w:rsidRDefault="00726AD3" w:rsidP="00726AD3">
            <w:pPr>
              <w:pStyle w:val="1"/>
              <w:spacing w:before="6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3)Забезпечена синхронна копія віртуальних серверів між двома центрами оброблення даних.4) </w:t>
            </w:r>
            <w:r w:rsidRPr="00F0268A">
              <w:rPr>
                <w:b w:val="0"/>
                <w:szCs w:val="24"/>
              </w:rPr>
              <w:t>БД резервуються (синхронна копія)</w:t>
            </w:r>
            <w:r w:rsidRPr="00F0268A">
              <w:rPr>
                <w:b w:val="0"/>
                <w:bCs/>
                <w:szCs w:val="24"/>
              </w:rPr>
              <w:t xml:space="preserve"> </w:t>
            </w:r>
            <w:r w:rsidRPr="00F0268A">
              <w:rPr>
                <w:b w:val="0"/>
                <w:szCs w:val="24"/>
              </w:rPr>
              <w:t xml:space="preserve">засобами ORACLE </w:t>
            </w:r>
            <w:r w:rsidRPr="00F0268A">
              <w:rPr>
                <w:b w:val="0"/>
                <w:szCs w:val="24"/>
                <w:lang w:val="en-US"/>
              </w:rPr>
              <w:t>Data</w:t>
            </w:r>
            <w:r w:rsidRPr="00F0268A">
              <w:rPr>
                <w:b w:val="0"/>
                <w:szCs w:val="24"/>
              </w:rPr>
              <w:t xml:space="preserve"> </w:t>
            </w:r>
            <w:r w:rsidRPr="00F0268A">
              <w:rPr>
                <w:b w:val="0"/>
                <w:szCs w:val="24"/>
                <w:lang w:val="en-US"/>
              </w:rPr>
              <w:t>Guard</w:t>
            </w:r>
            <w:r w:rsidRPr="00400332">
              <w:rPr>
                <w:b w:val="0"/>
                <w:szCs w:val="24"/>
              </w:rPr>
              <w:t>.</w:t>
            </w:r>
          </w:p>
          <w:p w:rsidR="00726AD3" w:rsidRDefault="00726AD3" w:rsidP="00726AD3">
            <w:pPr>
              <w:pStyle w:val="a8"/>
              <w:tabs>
                <w:tab w:val="left" w:pos="337"/>
              </w:tabs>
              <w:spacing w:line="259" w:lineRule="auto"/>
              <w:ind w:left="0"/>
            </w:pPr>
            <w:r>
              <w:t xml:space="preserve">5) Інформація системи Депозитарій зберігається в базах даних, що розміщуються в Національному </w:t>
            </w:r>
            <w:r>
              <w:lastRenderedPageBreak/>
              <w:t>банку,  що унеможливлює її знищення/модифікування клієнтом.</w:t>
            </w:r>
          </w:p>
          <w:p w:rsidR="00726AD3" w:rsidRPr="00E932F8" w:rsidRDefault="00726AD3" w:rsidP="00726AD3">
            <w:pPr>
              <w:rPr>
                <w:lang w:val="ru-RU"/>
              </w:rPr>
            </w:pPr>
            <w:r>
              <w:rPr>
                <w:lang w:val="ru-RU"/>
              </w:rPr>
              <w:t>6) Ведення захищенного протоколу роботи системи Депозитарій НБУ.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FP_BACKUP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>наявність можливості забезпечення резервування інформації</w:t>
            </w:r>
          </w:p>
          <w:p w:rsidR="00726AD3" w:rsidRPr="00766800" w:rsidRDefault="00726AD3" w:rsidP="00726AD3">
            <w:r w:rsidRPr="00766800">
              <w:t>«0» - ні, «1» -так</w:t>
            </w:r>
          </w:p>
        </w:tc>
        <w:tc>
          <w:tcPr>
            <w:tcW w:w="4100" w:type="dxa"/>
          </w:tcPr>
          <w:p w:rsidR="00726AD3" w:rsidRPr="00766800" w:rsidRDefault="00726AD3" w:rsidP="00726AD3">
            <w:r>
              <w:t>1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pPr>
              <w:rPr>
                <w:rFonts w:ascii="Courier New" w:hAnsi="Courier New" w:cs="Courier New"/>
                <w:b/>
              </w:rPr>
            </w:pPr>
            <w:r w:rsidRPr="00766800">
              <w:rPr>
                <w:rFonts w:ascii="Courier New" w:hAnsi="Courier New" w:cs="Courier New"/>
                <w:b/>
              </w:rPr>
              <w:t>FP_MA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>можливість відокремленого ведення обліку одночасно (для програмних продуктів, які використовуються для депозитарної діяльності Центрального депозитарію) «0» - ні, «1» -так</w:t>
            </w:r>
          </w:p>
        </w:tc>
        <w:tc>
          <w:tcPr>
            <w:tcW w:w="4100" w:type="dxa"/>
          </w:tcPr>
          <w:p w:rsidR="00726AD3" w:rsidRPr="00726AD3" w:rsidRDefault="00726AD3" w:rsidP="00726AD3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0E5260" w:rsidRDefault="00726AD3" w:rsidP="00726AD3">
            <w:r w:rsidRPr="00766800">
              <w:rPr>
                <w:rFonts w:ascii="Courier New" w:hAnsi="Courier New" w:cs="Courier New"/>
                <w:b/>
              </w:rPr>
              <w:t>FP_DEPBAL</w:t>
            </w:r>
          </w:p>
        </w:tc>
        <w:tc>
          <w:tcPr>
            <w:tcW w:w="2853" w:type="dxa"/>
            <w:shd w:val="clear" w:color="auto" w:fill="auto"/>
          </w:tcPr>
          <w:p w:rsidR="00726AD3" w:rsidRPr="00BC4FB0" w:rsidRDefault="00726AD3" w:rsidP="00726AD3">
            <w:pPr>
              <w:rPr>
                <w:highlight w:val="green"/>
              </w:rPr>
            </w:pPr>
            <w:r w:rsidRPr="000E5260">
              <w:t>інформація про забезпечення формування депозитарного балансу (для програмних продуктів, які використовуються професійними учасниками депозитарної системи України)</w:t>
            </w:r>
          </w:p>
        </w:tc>
        <w:tc>
          <w:tcPr>
            <w:tcW w:w="4100" w:type="dxa"/>
          </w:tcPr>
          <w:p w:rsidR="00726AD3" w:rsidRPr="000D13D7" w:rsidRDefault="00726AD3" w:rsidP="00726AD3">
            <w:pPr>
              <w:pStyle w:val="Default"/>
            </w:pPr>
            <w:r>
              <w:t>Програмний продукт забезпечує формування консолідованого депозитарного балансу шляхом формування звітної форми в задачі «Звітні а аналітичні форми» системи «Депозитарій НБУ»  за запитом розпорядника рахунку в цінних паперах, а також забезпечує щоденний автоматичний контроль за дотриманням депозитарного балансу між обсягом випуску ЦП та їх кількістю, що обліковується на рахунках клієнтів, а також розподілом ЦП на цих рахунках за кодами належності ЦП відповідним групам власників, що визначені законодавством України з питань депозитарної діяльності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FP_IPROTECT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>інформація про наявність вбудованих механізмів захисту інформації у разі призначення програмного продукту для обробки інформації, вимоги щодо захисту якої встановлено законодавством</w:t>
            </w:r>
          </w:p>
        </w:tc>
        <w:tc>
          <w:tcPr>
            <w:tcW w:w="4100" w:type="dxa"/>
          </w:tcPr>
          <w:p w:rsidR="00726AD3" w:rsidRDefault="0054258D" w:rsidP="00726AD3">
            <w:r>
              <w:t xml:space="preserve"> Використовується система криптографічного захисту інформації власної розробки Національного банку України (далі-СКЗІ). Деталізація механізмів захисту СКЗІ відноситься до інформації з обмеженим доступом </w:t>
            </w:r>
          </w:p>
          <w:p w:rsidR="00726AD3" w:rsidRDefault="00726AD3" w:rsidP="00726AD3">
            <w:pPr>
              <w:pStyle w:val="a8"/>
              <w:spacing w:line="259" w:lineRule="auto"/>
              <w:ind w:left="0"/>
            </w:pPr>
            <w:r>
              <w:t>1</w:t>
            </w:r>
            <w:r w:rsidRPr="005104EE">
              <w:t xml:space="preserve">) </w:t>
            </w:r>
            <w:r w:rsidRPr="00A92AFD">
              <w:t xml:space="preserve">Для роботи клієнтських </w:t>
            </w:r>
            <w:r w:rsidRPr="00153C83">
              <w:rPr>
                <w:lang w:val="en-US"/>
              </w:rPr>
              <w:t>Web</w:t>
            </w:r>
            <w:r w:rsidRPr="00A92AFD">
              <w:t xml:space="preserve">-застосувань із засобами захисту НБУ в частині накладання електронно-цифрового підпису на електронні документи, шифрування/ розшифрування захищених даних, здійснення </w:t>
            </w:r>
            <w:r>
              <w:t xml:space="preserve">2-факторної </w:t>
            </w:r>
            <w:r>
              <w:rPr>
                <w:lang w:val="en-US"/>
              </w:rPr>
              <w:t>TLS</w:t>
            </w:r>
            <w:r>
              <w:t xml:space="preserve">-аутентифікації </w:t>
            </w:r>
            <w:r w:rsidRPr="00A92AFD">
              <w:t xml:space="preserve">використовується </w:t>
            </w:r>
            <w:r w:rsidRPr="00153C83">
              <w:rPr>
                <w:lang w:val="en-US"/>
              </w:rPr>
              <w:t>Windows</w:t>
            </w:r>
            <w:r w:rsidRPr="00A92AFD">
              <w:t xml:space="preserve">-застосування НБУ </w:t>
            </w:r>
            <w:r w:rsidRPr="00153C83">
              <w:rPr>
                <w:lang w:val="en-US"/>
              </w:rPr>
              <w:t>NbuPlugins</w:t>
            </w:r>
            <w:r>
              <w:t xml:space="preserve"> із вбудованими бібліотеками захисту інформації </w:t>
            </w:r>
            <w:r>
              <w:lastRenderedPageBreak/>
              <w:t>НБУ</w:t>
            </w:r>
            <w:r w:rsidRPr="00A92AFD">
              <w:t>.</w:t>
            </w:r>
          </w:p>
          <w:p w:rsidR="00726AD3" w:rsidRDefault="00726AD3" w:rsidP="00726AD3">
            <w:pPr>
              <w:pStyle w:val="a8"/>
              <w:spacing w:line="259" w:lineRule="auto"/>
              <w:ind w:left="0"/>
            </w:pPr>
            <w:r>
              <w:t xml:space="preserve">2) </w:t>
            </w:r>
            <w:r>
              <w:rPr>
                <w:lang w:val="ru-RU"/>
              </w:rPr>
              <w:t>Передбачено рольова модель розпод</w:t>
            </w:r>
            <w:r>
              <w:t>ілу повноважень користувачів.</w:t>
            </w:r>
          </w:p>
          <w:p w:rsidR="00726AD3" w:rsidRDefault="00726AD3" w:rsidP="00726AD3">
            <w:pPr>
              <w:pStyle w:val="1"/>
              <w:spacing w:before="60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</w:t>
            </w:r>
            <w:r w:rsidRPr="0095526F">
              <w:rPr>
                <w:b w:val="0"/>
                <w:szCs w:val="24"/>
              </w:rPr>
              <w:t xml:space="preserve">) </w:t>
            </w:r>
            <w:r w:rsidRPr="0095526F">
              <w:rPr>
                <w:b w:val="0"/>
                <w:szCs w:val="28"/>
              </w:rPr>
              <w:t>Ведення файлового захищеного протоколу на клієнт</w:t>
            </w:r>
            <w:r w:rsidRPr="0095526F">
              <w:rPr>
                <w:b w:val="0"/>
                <w:szCs w:val="28"/>
                <w:lang w:val="ru-RU"/>
              </w:rPr>
              <w:t>ському робочому місці</w:t>
            </w:r>
            <w:r w:rsidRPr="0095526F">
              <w:rPr>
                <w:b w:val="0"/>
                <w:szCs w:val="28"/>
              </w:rPr>
              <w:t xml:space="preserve"> та сервері</w:t>
            </w:r>
            <w:r w:rsidRPr="0095526F">
              <w:rPr>
                <w:b w:val="0"/>
                <w:szCs w:val="24"/>
              </w:rPr>
              <w:t>. Крім ведення протоколу системи захисту кожний функціональний модуль системи протоколює відповідні дії, які користувач здійснює при роботі з даним модулем.</w:t>
            </w:r>
          </w:p>
          <w:p w:rsidR="00726AD3" w:rsidRPr="00766800" w:rsidRDefault="00726AD3" w:rsidP="00726AD3">
            <w:pPr>
              <w:pStyle w:val="a8"/>
              <w:spacing w:line="259" w:lineRule="auto"/>
              <w:ind w:left="0"/>
            </w:pPr>
            <w:r>
              <w:t>4) Термін дії ключа користувача в системі Депозитарій НБУ  – 120 діб.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FP_ARHIV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>інформація про створення спеціалізо</w:t>
            </w:r>
            <w:r>
              <w:t xml:space="preserve">ваним програмним продуктом </w:t>
            </w:r>
            <w:r w:rsidRPr="00766800">
              <w:t xml:space="preserve">архіву даних у разі, якщо архівація даних передбачена технічним завданням або аналогічним за змістом документом, наведена у документації </w:t>
            </w:r>
            <w:r>
              <w:t>до програмного продукту</w:t>
            </w:r>
            <w:r w:rsidRPr="00766800">
              <w:t xml:space="preserve"> (навести термін зберігання архіву відповідно до законодавства)</w:t>
            </w:r>
          </w:p>
        </w:tc>
        <w:tc>
          <w:tcPr>
            <w:tcW w:w="4100" w:type="dxa"/>
          </w:tcPr>
          <w:p w:rsidR="00726AD3" w:rsidRDefault="00726AD3" w:rsidP="00726AD3">
            <w:r>
              <w:t xml:space="preserve">По закінченню робочого дня засобами програмного продукту створюється незмінна копія з даними роботи САІМП, у </w:t>
            </w:r>
            <w:proofErr w:type="spellStart"/>
            <w:r>
              <w:t>т.ч</w:t>
            </w:r>
            <w:proofErr w:type="spellEnd"/>
            <w:r>
              <w:t>. системи Депозитарій НБУ (далі – ВЕД, відокремлені електроні дані).</w:t>
            </w:r>
          </w:p>
          <w:p w:rsidR="00726AD3" w:rsidRDefault="00726AD3" w:rsidP="00726AD3">
            <w:pPr>
              <w:rPr>
                <w:szCs w:val="24"/>
              </w:rPr>
            </w:pPr>
            <w:r>
              <w:t xml:space="preserve">ВЕД </w:t>
            </w:r>
            <w:r w:rsidRPr="00100D2F">
              <w:t>зберігається на магнітних носіях</w:t>
            </w:r>
            <w:r>
              <w:t>.</w:t>
            </w:r>
          </w:p>
          <w:p w:rsidR="00726AD3" w:rsidRPr="00A045D5" w:rsidRDefault="00726AD3" w:rsidP="00726AD3">
            <w:r>
              <w:rPr>
                <w:szCs w:val="24"/>
              </w:rPr>
              <w:t>Термін зберігання ВЕД складає 5 років.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FP_SUP</w:t>
            </w:r>
            <w:r>
              <w:rPr>
                <w:rFonts w:ascii="Courier New" w:hAnsi="Courier New" w:cs="Courier New"/>
                <w:b/>
              </w:rPr>
              <w:t>_</w:t>
            </w:r>
            <w:r>
              <w:rPr>
                <w:rFonts w:ascii="Courier New" w:hAnsi="Courier New" w:cs="Courier New"/>
                <w:b/>
                <w:lang w:val="en-US"/>
              </w:rPr>
              <w:t>NAME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>інформація про супроводження та технічну підтримку програмного продукту</w:t>
            </w:r>
            <w:r>
              <w:t xml:space="preserve">: </w:t>
            </w:r>
            <w:r w:rsidRPr="00D40E1A">
              <w:t xml:space="preserve">повне найменування того, хто здійснює супроводження та технічну підтримку програмного продукту </w:t>
            </w:r>
          </w:p>
        </w:tc>
        <w:tc>
          <w:tcPr>
            <w:tcW w:w="4100" w:type="dxa"/>
          </w:tcPr>
          <w:p w:rsidR="00726AD3" w:rsidRPr="006630C0" w:rsidRDefault="00726AD3" w:rsidP="00726AD3">
            <w:pPr>
              <w:rPr>
                <w:lang w:val="ru-RU"/>
              </w:rPr>
            </w:pPr>
            <w:r w:rsidRPr="006630C0">
              <w:rPr>
                <w:lang w:val="ru-RU"/>
              </w:rPr>
              <w:t>Національний банк України</w:t>
            </w:r>
          </w:p>
          <w:p w:rsidR="00726AD3" w:rsidRPr="006630C0" w:rsidRDefault="00726AD3" w:rsidP="00726AD3">
            <w:pPr>
              <w:rPr>
                <w:szCs w:val="24"/>
              </w:rPr>
            </w:pPr>
          </w:p>
          <w:p w:rsidR="00726AD3" w:rsidRPr="006630C0" w:rsidRDefault="00726AD3" w:rsidP="00726AD3"/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FP_SUP</w:t>
            </w:r>
            <w:r>
              <w:rPr>
                <w:rFonts w:ascii="Courier New" w:hAnsi="Courier New" w:cs="Courier New"/>
                <w:b/>
              </w:rPr>
              <w:t>_</w:t>
            </w:r>
            <w:r>
              <w:rPr>
                <w:rFonts w:ascii="Courier New" w:hAnsi="Courier New" w:cs="Courier New"/>
                <w:b/>
                <w:lang w:val="en-US"/>
              </w:rPr>
              <w:t>EDR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>інформація про супроводження та технічну підтримку програмного продукту</w:t>
            </w:r>
            <w:r>
              <w:t xml:space="preserve">: </w:t>
            </w:r>
            <w:r w:rsidRPr="00D40E1A">
              <w:t xml:space="preserve">код за ЄДРПОУ того, хто здійснює супроводження та технічну підтримку програмного продукту </w:t>
            </w:r>
          </w:p>
        </w:tc>
        <w:tc>
          <w:tcPr>
            <w:tcW w:w="4100" w:type="dxa"/>
          </w:tcPr>
          <w:p w:rsidR="00726AD3" w:rsidRPr="006630C0" w:rsidRDefault="00726AD3" w:rsidP="00726AD3">
            <w:r w:rsidRPr="006630C0">
              <w:rPr>
                <w:lang w:val="ru-RU"/>
              </w:rPr>
              <w:t>00032106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FP_SUP</w:t>
            </w:r>
            <w:r>
              <w:rPr>
                <w:rFonts w:ascii="Courier New" w:hAnsi="Courier New" w:cs="Courier New"/>
                <w:b/>
              </w:rPr>
              <w:t>_</w:t>
            </w:r>
            <w:r>
              <w:rPr>
                <w:rFonts w:ascii="Courier New" w:hAnsi="Courier New" w:cs="Courier New"/>
                <w:b/>
                <w:lang w:val="en-US"/>
              </w:rPr>
              <w:t>ADR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>інформація про супроводження та технічну підтримку програмного продукту</w:t>
            </w:r>
            <w:r>
              <w:t xml:space="preserve">: </w:t>
            </w:r>
            <w:r w:rsidRPr="00766800">
              <w:t>місцезнаходження</w:t>
            </w:r>
            <w:r w:rsidRPr="00D40E1A">
              <w:t xml:space="preserve"> того, хто здійснює супроводження та технічну підтримку </w:t>
            </w:r>
            <w:r w:rsidRPr="00D40E1A">
              <w:lastRenderedPageBreak/>
              <w:t xml:space="preserve">програмного продукту </w:t>
            </w:r>
          </w:p>
        </w:tc>
        <w:tc>
          <w:tcPr>
            <w:tcW w:w="4100" w:type="dxa"/>
          </w:tcPr>
          <w:p w:rsidR="00726AD3" w:rsidRPr="006630C0" w:rsidRDefault="00726AD3" w:rsidP="00726AD3">
            <w:r w:rsidRPr="006630C0">
              <w:rPr>
                <w:szCs w:val="24"/>
              </w:rPr>
              <w:lastRenderedPageBreak/>
              <w:t xml:space="preserve">м. Київ, </w:t>
            </w:r>
            <w:proofErr w:type="spellStart"/>
            <w:r w:rsidRPr="006630C0">
              <w:rPr>
                <w:szCs w:val="24"/>
              </w:rPr>
              <w:t>просп</w:t>
            </w:r>
            <w:proofErr w:type="spellEnd"/>
            <w:r w:rsidRPr="006630C0">
              <w:rPr>
                <w:szCs w:val="24"/>
              </w:rPr>
              <w:t>. Науки, б. 7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FP_SUP</w:t>
            </w:r>
            <w:r>
              <w:rPr>
                <w:rFonts w:ascii="Courier New" w:hAnsi="Courier New" w:cs="Courier New"/>
                <w:b/>
                <w:lang w:val="en-US"/>
              </w:rPr>
              <w:t>_LVL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>інформація про супроводження та технічну підтримку програмного продукту</w:t>
            </w:r>
            <w:r>
              <w:t xml:space="preserve">: </w:t>
            </w:r>
            <w:r w:rsidRPr="00D40E1A">
              <w:t xml:space="preserve">рівень відповідальності за працездатність програмного продукту того, хто здійснює супроводження та технічну підтримку програмного продукту </w:t>
            </w:r>
          </w:p>
        </w:tc>
        <w:tc>
          <w:tcPr>
            <w:tcW w:w="4100" w:type="dxa"/>
          </w:tcPr>
          <w:p w:rsidR="00726AD3" w:rsidRPr="006630C0" w:rsidRDefault="00726AD3" w:rsidP="00726AD3">
            <w:r w:rsidRPr="006630C0">
              <w:rPr>
                <w:szCs w:val="24"/>
              </w:rPr>
              <w:t>Супроводження та технічна підтримка здійснюється фахівцями Департаменту інформаційних технологій Національного банку України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6630C0" w:rsidRDefault="00726AD3" w:rsidP="00726AD3">
            <w:r w:rsidRPr="00766800">
              <w:rPr>
                <w:rFonts w:ascii="Courier New" w:hAnsi="Courier New" w:cs="Courier New"/>
                <w:b/>
              </w:rPr>
              <w:t>FP_SUP</w:t>
            </w:r>
            <w:r>
              <w:rPr>
                <w:rFonts w:ascii="Courier New" w:hAnsi="Courier New" w:cs="Courier New"/>
                <w:b/>
                <w:lang w:val="en-US"/>
              </w:rPr>
              <w:t>_TYP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6630C0">
              <w:t>Вид супроводження та технічної підтримки (адміністрування технічної частини, програмного забезпечення; супроводження системи управління базами даних; моніторинг та оновлення стану довідників, каталогів, бібліотек що використовуються у роботі; відслідковування нестандартних ситуацій під час експлуатації та відновлення працездатності технологічних процесів, що реалізовані в програмному продукті, зокрема що пов’язані з процедурами застосування засобів кваліфікованого електронного підпису; внесення змін до користувацького інтерфейсу, програмного забезпечення, інших функціональних складових програмного забезпечення, в тому числі у зв’язку із прийняттям змін до законодавства; тощо)</w:t>
            </w:r>
          </w:p>
        </w:tc>
        <w:tc>
          <w:tcPr>
            <w:tcW w:w="4100" w:type="dxa"/>
          </w:tcPr>
          <w:p w:rsidR="00726AD3" w:rsidRPr="00951EAA" w:rsidRDefault="00726AD3" w:rsidP="00726AD3">
            <w:pPr>
              <w:rPr>
                <w:szCs w:val="24"/>
              </w:rPr>
            </w:pPr>
            <w:r w:rsidRPr="00951EAA">
              <w:rPr>
                <w:szCs w:val="24"/>
              </w:rPr>
              <w:t>1)</w:t>
            </w:r>
            <w:r>
              <w:rPr>
                <w:szCs w:val="24"/>
                <w:lang w:val="ru-RU"/>
              </w:rPr>
              <w:t xml:space="preserve"> А</w:t>
            </w:r>
            <w:r w:rsidRPr="00951EAA">
              <w:rPr>
                <w:szCs w:val="24"/>
              </w:rPr>
              <w:t xml:space="preserve">дміністрування технічної частини програмного забезпечення; </w:t>
            </w:r>
          </w:p>
          <w:p w:rsidR="00726AD3" w:rsidRDefault="00726AD3" w:rsidP="00726AD3">
            <w:pPr>
              <w:rPr>
                <w:szCs w:val="24"/>
              </w:rPr>
            </w:pPr>
            <w:r>
              <w:rPr>
                <w:szCs w:val="24"/>
              </w:rPr>
              <w:t>2)</w:t>
            </w:r>
            <w:r w:rsidRPr="00951EAA">
              <w:rPr>
                <w:szCs w:val="24"/>
              </w:rPr>
              <w:t xml:space="preserve">супроводження системи управління базами даних; </w:t>
            </w:r>
          </w:p>
          <w:p w:rsidR="00726AD3" w:rsidRDefault="00726AD3" w:rsidP="00726AD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951EAA">
              <w:rPr>
                <w:szCs w:val="24"/>
              </w:rPr>
              <w:t>)</w:t>
            </w:r>
            <w:r>
              <w:rPr>
                <w:szCs w:val="24"/>
                <w:lang w:val="ru-RU"/>
              </w:rPr>
              <w:t xml:space="preserve"> М</w:t>
            </w:r>
            <w:r w:rsidRPr="00951EAA">
              <w:rPr>
                <w:szCs w:val="24"/>
              </w:rPr>
              <w:t xml:space="preserve">оніторинг та оновлення стану довідників, каталогів, бібліотек; </w:t>
            </w:r>
          </w:p>
          <w:p w:rsidR="00726AD3" w:rsidRDefault="00726AD3" w:rsidP="00726AD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951EAA">
              <w:rPr>
                <w:szCs w:val="24"/>
              </w:rPr>
              <w:t>)</w:t>
            </w:r>
            <w:r>
              <w:rPr>
                <w:szCs w:val="24"/>
                <w:lang w:val="ru-RU"/>
              </w:rPr>
              <w:t xml:space="preserve"> В</w:t>
            </w:r>
            <w:r w:rsidRPr="00951EAA">
              <w:rPr>
                <w:szCs w:val="24"/>
              </w:rPr>
              <w:t xml:space="preserve">ідслідковування нестандартних ситуацій під час експлуатації та відновлення працездатності технологічних процесів, що реалізовані в програмному продукті; </w:t>
            </w:r>
          </w:p>
          <w:p w:rsidR="00726AD3" w:rsidRDefault="00726AD3" w:rsidP="00726AD3">
            <w:r>
              <w:rPr>
                <w:szCs w:val="24"/>
              </w:rPr>
              <w:t>5</w:t>
            </w:r>
            <w:r w:rsidRPr="00951EAA">
              <w:rPr>
                <w:szCs w:val="24"/>
              </w:rPr>
              <w:t>)</w:t>
            </w:r>
            <w:r>
              <w:rPr>
                <w:szCs w:val="24"/>
                <w:lang w:val="ru-RU"/>
              </w:rPr>
              <w:t xml:space="preserve"> В</w:t>
            </w:r>
            <w:r w:rsidRPr="00951EAA">
              <w:rPr>
                <w:szCs w:val="24"/>
              </w:rPr>
              <w:t>несення змін до користувацького інтерфейсу, програмного забезпечення, інших функц</w:t>
            </w:r>
            <w:r>
              <w:rPr>
                <w:szCs w:val="24"/>
              </w:rPr>
              <w:t xml:space="preserve">іональних складових програмного </w:t>
            </w:r>
            <w:r w:rsidRPr="00951EAA">
              <w:rPr>
                <w:szCs w:val="24"/>
              </w:rPr>
              <w:t>забезпечення, в тому числі у зв'язку із прийняттям змін до законодавства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Default="00726AD3" w:rsidP="00726AD3">
            <w:r w:rsidRPr="00766800">
              <w:rPr>
                <w:rFonts w:ascii="Courier New" w:hAnsi="Courier New" w:cs="Courier New"/>
                <w:b/>
              </w:rPr>
              <w:t>FP_SUPROVOD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>
              <w:t xml:space="preserve">Інша </w:t>
            </w:r>
            <w:r w:rsidRPr="00766800">
              <w:t>інформація про супроводження та технічну підтримку програмного продукту, зокрема з використання аутсорс</w:t>
            </w:r>
            <w:r>
              <w:t>и</w:t>
            </w:r>
            <w:r w:rsidRPr="00766800">
              <w:t>нгу</w:t>
            </w:r>
          </w:p>
        </w:tc>
        <w:tc>
          <w:tcPr>
            <w:tcW w:w="4100" w:type="dxa"/>
          </w:tcPr>
          <w:p w:rsidR="00726AD3" w:rsidRPr="00B7450E" w:rsidRDefault="00726AD3" w:rsidP="00726AD3">
            <w:r>
              <w:t>С</w:t>
            </w:r>
            <w:r w:rsidRPr="00766800">
              <w:t>упроводження та технічн</w:t>
            </w:r>
            <w:r>
              <w:t>а</w:t>
            </w:r>
            <w:r w:rsidRPr="00766800">
              <w:t xml:space="preserve"> підтримк</w:t>
            </w:r>
            <w:r>
              <w:t>а</w:t>
            </w:r>
            <w:r w:rsidRPr="00766800">
              <w:t xml:space="preserve"> програмного продукту</w:t>
            </w:r>
            <w:r>
              <w:rPr>
                <w:lang w:val="ru-RU"/>
              </w:rPr>
              <w:t xml:space="preserve"> здійснюється без застосування аутсорсингу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>
              <w:rPr>
                <w:rFonts w:ascii="Courier New" w:hAnsi="Courier New" w:cs="Courier New"/>
                <w:b/>
                <w:lang w:val="en-US"/>
              </w:rPr>
              <w:t>FP_CSZI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766800">
              <w:t xml:space="preserve">інформація </w:t>
            </w:r>
            <w:r>
              <w:t xml:space="preserve">щодо </w:t>
            </w:r>
            <w:r w:rsidRPr="0063630D">
              <w:t>реалізації захисту інформації із зазначенням наявності та реквізитів атестату відповідності комплексної системи захисту інформації вимогам законодавства (за наявності)</w:t>
            </w:r>
          </w:p>
        </w:tc>
        <w:tc>
          <w:tcPr>
            <w:tcW w:w="4100" w:type="dxa"/>
          </w:tcPr>
          <w:p w:rsidR="00E25F80" w:rsidRDefault="00726AD3" w:rsidP="00E25F80">
            <w:pPr>
              <w:shd w:val="clear" w:color="auto" w:fill="FFFFFF"/>
            </w:pPr>
            <w:r w:rsidRPr="00E25F80">
              <w:rPr>
                <w:i/>
                <w:color w:val="FF0000"/>
              </w:rPr>
              <w:t xml:space="preserve"> </w:t>
            </w:r>
            <w:r w:rsidR="00E25F80" w:rsidRPr="00E25F80">
              <w:t>Деталізація</w:t>
            </w:r>
            <w:r w:rsidR="00E25F80">
              <w:t xml:space="preserve"> реалізації СКЗІ відноситься до інформації з обмеженим доступом.</w:t>
            </w:r>
          </w:p>
          <w:p w:rsidR="00E25F80" w:rsidRDefault="00E25F80" w:rsidP="00E25F80">
            <w:pPr>
              <w:shd w:val="clear" w:color="auto" w:fill="FFFFFF"/>
            </w:pPr>
            <w:r>
              <w:t>Відповідно до частини статті 10 Закону України «Про захист інформації в інформаційно-телекомунікаційних системах», особливості захисту інформації в системах, які забезпечують банківську діяльність, встановлюються Національним банком України.</w:t>
            </w:r>
          </w:p>
          <w:p w:rsidR="00726AD3" w:rsidRPr="001D30B9" w:rsidRDefault="00E25F80" w:rsidP="00E25F80">
            <w:pPr>
              <w:rPr>
                <w:color w:val="FF0000"/>
                <w:highlight w:val="yellow"/>
              </w:rPr>
            </w:pPr>
            <w:r>
              <w:t xml:space="preserve">СКЗІ використовується банками України відповідно до «Положення про захист електронних банківських документів з використанням засобів захисту інформації Національного банку України», затвердженого постановою Правління Національного банку України № 829 від 26.11.2015 року (зі змінами). </w:t>
            </w:r>
          </w:p>
        </w:tc>
      </w:tr>
      <w:tr w:rsidR="00726AD3" w:rsidRPr="004E1FA1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766800" w:rsidRDefault="00726AD3" w:rsidP="00726AD3">
            <w:r w:rsidRPr="00766800">
              <w:rPr>
                <w:rFonts w:ascii="Courier New" w:hAnsi="Courier New" w:cs="Courier New"/>
                <w:b/>
              </w:rPr>
              <w:t>FP_</w:t>
            </w:r>
            <w:r>
              <w:rPr>
                <w:rFonts w:ascii="Courier New" w:hAnsi="Courier New" w:cs="Courier New"/>
                <w:b/>
                <w:lang w:val="en-US"/>
              </w:rPr>
              <w:t>CRYP</w:t>
            </w:r>
            <w:r w:rsidRPr="00766800">
              <w:rPr>
                <w:rFonts w:ascii="Courier New" w:hAnsi="Courier New" w:cs="Courier New"/>
                <w:b/>
              </w:rPr>
              <w:t>D</w:t>
            </w:r>
            <w:r>
              <w:rPr>
                <w:rFonts w:ascii="Courier New" w:hAnsi="Courier New" w:cs="Courier New"/>
                <w:b/>
                <w:lang w:val="en-US"/>
              </w:rPr>
              <w:t>OC</w:t>
            </w:r>
          </w:p>
        </w:tc>
        <w:tc>
          <w:tcPr>
            <w:tcW w:w="2853" w:type="dxa"/>
            <w:shd w:val="clear" w:color="auto" w:fill="auto"/>
          </w:tcPr>
          <w:p w:rsidR="00726AD3" w:rsidRPr="007F0944" w:rsidRDefault="00726AD3" w:rsidP="00726AD3">
            <w:pPr>
              <w:rPr>
                <w:szCs w:val="24"/>
              </w:rPr>
            </w:pPr>
            <w:r w:rsidRPr="00766800">
              <w:t xml:space="preserve">інформація про </w:t>
            </w:r>
            <w:r w:rsidRPr="007F0944">
              <w:rPr>
                <w:szCs w:val="24"/>
              </w:rPr>
              <w:t>наявність документів щодо відповідності засобів криптографічного захисту інформації, що використовуються в СПП, вимогам законодавства</w:t>
            </w:r>
          </w:p>
        </w:tc>
        <w:tc>
          <w:tcPr>
            <w:tcW w:w="4100" w:type="dxa"/>
          </w:tcPr>
          <w:p w:rsidR="00726AD3" w:rsidRPr="00E25F80" w:rsidRDefault="00726AD3" w:rsidP="00E25F80">
            <w:pPr>
              <w:rPr>
                <w:color w:val="FF0000"/>
              </w:rPr>
            </w:pPr>
            <w:r w:rsidRPr="00E25F80">
              <w:rPr>
                <w:i/>
                <w:color w:val="FF0000"/>
              </w:rPr>
              <w:t xml:space="preserve"> </w:t>
            </w:r>
            <w:r w:rsidR="00E25F80" w:rsidRPr="00E25F80">
              <w:t>Використовується СКЗІ, яка розроблена відповідно до п. 3 Розділу 1 «Положення про порядок розроблення, виробництва та експлуатації засобів криптографічного захисту інформації», затвердженого Наказом Адміністрації Державної служби спеціального зв'язку та захисту інформації України від 20.07.2007  № 141 (зі змінами).</w:t>
            </w:r>
          </w:p>
        </w:tc>
      </w:tr>
      <w:tr w:rsidR="00726AD3" w:rsidRPr="00955B24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0E5260" w:rsidRDefault="00726AD3" w:rsidP="00726AD3">
            <w:r w:rsidRPr="00766800">
              <w:rPr>
                <w:rFonts w:ascii="Courier New" w:hAnsi="Courier New" w:cs="Courier New"/>
                <w:b/>
                <w:lang w:val="en-US"/>
              </w:rPr>
              <w:t>IK</w:t>
            </w:r>
            <w:r w:rsidRPr="00766800">
              <w:rPr>
                <w:rFonts w:ascii="Courier New" w:hAnsi="Courier New" w:cs="Courier New"/>
                <w:b/>
              </w:rPr>
              <w:t>_</w:t>
            </w:r>
            <w:r w:rsidRPr="00766800">
              <w:rPr>
                <w:rFonts w:ascii="Courier New" w:hAnsi="Courier New" w:cs="Courier New"/>
                <w:b/>
                <w:lang w:val="en-US"/>
              </w:rPr>
              <w:t>INTEGRAT</w:t>
            </w:r>
          </w:p>
        </w:tc>
        <w:tc>
          <w:tcPr>
            <w:tcW w:w="2853" w:type="dxa"/>
            <w:shd w:val="clear" w:color="auto" w:fill="auto"/>
          </w:tcPr>
          <w:p w:rsidR="00726AD3" w:rsidRPr="00766800" w:rsidRDefault="00726AD3" w:rsidP="00726AD3">
            <w:r w:rsidRPr="000E5260">
              <w:t>Відомості щодо інформаційно-комунікаційних можливостей  програмного продукту в частині реалізації інтеграції програмного продукту з іншим програмними продуктами для виду/видів діяльності на фондовому ринку</w:t>
            </w:r>
          </w:p>
        </w:tc>
        <w:tc>
          <w:tcPr>
            <w:tcW w:w="4100" w:type="dxa"/>
          </w:tcPr>
          <w:p w:rsidR="00726AD3" w:rsidRPr="00B8525F" w:rsidRDefault="00726AD3" w:rsidP="00726AD3">
            <w:pPr>
              <w:pStyle w:val="a8"/>
              <w:spacing w:line="259" w:lineRule="auto"/>
              <w:ind w:left="0"/>
              <w:rPr>
                <w:szCs w:val="24"/>
              </w:rPr>
            </w:pPr>
            <w:r w:rsidRPr="00B8525F">
              <w:rPr>
                <w:szCs w:val="24"/>
              </w:rPr>
              <w:t>1)</w:t>
            </w:r>
            <w:r>
              <w:rPr>
                <w:szCs w:val="24"/>
              </w:rPr>
              <w:t xml:space="preserve"> І</w:t>
            </w:r>
            <w:r w:rsidRPr="00B8525F">
              <w:rPr>
                <w:szCs w:val="24"/>
              </w:rPr>
              <w:t xml:space="preserve">нтеграція з системою електронних платежів НБУ </w:t>
            </w:r>
            <w:r>
              <w:rPr>
                <w:szCs w:val="24"/>
              </w:rPr>
              <w:t xml:space="preserve">для забезпечення здійснення розрахунків </w:t>
            </w:r>
            <w:r>
              <w:rPr>
                <w:color w:val="000000"/>
              </w:rPr>
              <w:t>за правочинами щодо цінних паперів за принципом</w:t>
            </w:r>
            <w:r>
              <w:rPr>
                <w:szCs w:val="24"/>
              </w:rPr>
              <w:t xml:space="preserve"> «оплати</w:t>
            </w:r>
            <w:r w:rsidRPr="00B8525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проти </w:t>
            </w:r>
            <w:r w:rsidRPr="00B8525F">
              <w:rPr>
                <w:szCs w:val="24"/>
              </w:rPr>
              <w:t>поставки</w:t>
            </w:r>
            <w:r>
              <w:rPr>
                <w:szCs w:val="24"/>
              </w:rPr>
              <w:t xml:space="preserve"> цінних паперів»</w:t>
            </w:r>
            <w:r w:rsidRPr="00B8525F">
              <w:rPr>
                <w:szCs w:val="24"/>
              </w:rPr>
              <w:t>;</w:t>
            </w:r>
          </w:p>
          <w:p w:rsidR="00726AD3" w:rsidRPr="00461E37" w:rsidRDefault="00726AD3" w:rsidP="00726AD3">
            <w:pPr>
              <w:pStyle w:val="a8"/>
              <w:spacing w:line="259" w:lineRule="auto"/>
              <w:ind w:left="0"/>
              <w:rPr>
                <w:szCs w:val="24"/>
                <w:lang w:val="ru-RU"/>
              </w:rPr>
            </w:pPr>
            <w:r w:rsidRPr="00B8525F">
              <w:rPr>
                <w:szCs w:val="24"/>
              </w:rPr>
              <w:t>2)</w:t>
            </w:r>
            <w:r w:rsidRPr="00463F0A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</w:rPr>
              <w:t>І</w:t>
            </w:r>
            <w:r w:rsidRPr="00B8525F">
              <w:rPr>
                <w:szCs w:val="24"/>
              </w:rPr>
              <w:t xml:space="preserve">нтеграція з </w:t>
            </w:r>
            <w:r>
              <w:rPr>
                <w:szCs w:val="24"/>
              </w:rPr>
              <w:t>Р</w:t>
            </w:r>
            <w:r w:rsidRPr="00B8525F">
              <w:rPr>
                <w:szCs w:val="24"/>
              </w:rPr>
              <w:t>озрахунков</w:t>
            </w:r>
            <w:r>
              <w:rPr>
                <w:szCs w:val="24"/>
              </w:rPr>
              <w:t>им</w:t>
            </w:r>
            <w:r w:rsidRPr="00B8525F">
              <w:rPr>
                <w:szCs w:val="24"/>
              </w:rPr>
              <w:t xml:space="preserve"> центром</w:t>
            </w:r>
            <w:r>
              <w:rPr>
                <w:szCs w:val="24"/>
              </w:rPr>
              <w:t xml:space="preserve"> для забезпечення здійснення розрахунків </w:t>
            </w:r>
            <w:r>
              <w:rPr>
                <w:color w:val="000000"/>
              </w:rPr>
              <w:t>за правочинами щодо цінних паперів за принципом</w:t>
            </w:r>
            <w:r>
              <w:rPr>
                <w:szCs w:val="24"/>
              </w:rPr>
              <w:t xml:space="preserve"> «поставка</w:t>
            </w:r>
            <w:r w:rsidRPr="00B8525F">
              <w:rPr>
                <w:szCs w:val="24"/>
              </w:rPr>
              <w:t xml:space="preserve"> </w:t>
            </w:r>
            <w:r>
              <w:rPr>
                <w:szCs w:val="24"/>
              </w:rPr>
              <w:t>цінних паперів проти оплати»</w:t>
            </w:r>
            <w:r w:rsidRPr="00461E37">
              <w:rPr>
                <w:szCs w:val="24"/>
                <w:lang w:val="ru-RU"/>
              </w:rPr>
              <w:t>.</w:t>
            </w:r>
          </w:p>
          <w:p w:rsidR="00726AD3" w:rsidRPr="00461E37" w:rsidRDefault="00726AD3" w:rsidP="00726AD3">
            <w:pPr>
              <w:pStyle w:val="Default"/>
              <w:rPr>
                <w:lang w:val="ru-RU"/>
              </w:rPr>
            </w:pPr>
            <w:r w:rsidRPr="00E932F8">
              <w:t>3</w:t>
            </w:r>
            <w:r w:rsidRPr="00461E37">
              <w:t>) Інтеграція з системами автоматизації депозитарних установ для забезпечення автоматизації отримання довідників системи Депозитарій НБУ</w:t>
            </w:r>
            <w:r>
              <w:t xml:space="preserve"> та </w:t>
            </w:r>
            <w:r w:rsidRPr="00461E37">
              <w:t xml:space="preserve">журналів за проведеними </w:t>
            </w:r>
            <w:r>
              <w:t>депорозпорядженнями</w:t>
            </w:r>
            <w:r w:rsidRPr="00461E37">
              <w:t xml:space="preserve">, виконання операцій в Депозитарії НБУ </w:t>
            </w:r>
            <w:r>
              <w:t xml:space="preserve">щодо відкриття рахунку та виконання </w:t>
            </w:r>
            <w:r w:rsidRPr="00461E37">
              <w:t>депорозпоряджен</w:t>
            </w:r>
            <w:r>
              <w:t>ь</w:t>
            </w:r>
            <w:r w:rsidRPr="00461E37">
              <w:t>,</w:t>
            </w:r>
          </w:p>
          <w:p w:rsidR="00726AD3" w:rsidRDefault="00726AD3" w:rsidP="00726AD3">
            <w:pPr>
              <w:pStyle w:val="a8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lastRenderedPageBreak/>
              <w:t>4) Інтеграція с системами автоматизації обслуговуючих банків під час здійснення внутрішньобанківських розрахунків за угодами щодо ДЦП.</w:t>
            </w:r>
          </w:p>
          <w:p w:rsidR="00726AD3" w:rsidRPr="00955B24" w:rsidRDefault="00726AD3" w:rsidP="00726AD3">
            <w:pPr>
              <w:pStyle w:val="a8"/>
              <w:spacing w:line="259" w:lineRule="auto"/>
              <w:ind w:left="0"/>
              <w:rPr>
                <w:szCs w:val="24"/>
              </w:rPr>
            </w:pPr>
            <w:r w:rsidRPr="00955B24">
              <w:rPr>
                <w:szCs w:val="24"/>
              </w:rPr>
              <w:t xml:space="preserve">5) </w:t>
            </w:r>
            <w:r>
              <w:rPr>
                <w:szCs w:val="24"/>
              </w:rPr>
              <w:t>І</w:t>
            </w:r>
            <w:r w:rsidRPr="00955B24">
              <w:rPr>
                <w:szCs w:val="24"/>
              </w:rPr>
              <w:t>нтеграція з</w:t>
            </w:r>
            <w:r>
              <w:rPr>
                <w:szCs w:val="24"/>
              </w:rPr>
              <w:t xml:space="preserve"> </w:t>
            </w:r>
            <w:r w:rsidRPr="00955B24">
              <w:rPr>
                <w:szCs w:val="24"/>
              </w:rPr>
              <w:t>Bloomberg's Auction System для забезпечення можливості проведення розрах</w:t>
            </w:r>
            <w:r>
              <w:rPr>
                <w:szCs w:val="24"/>
              </w:rPr>
              <w:t>унків</w:t>
            </w:r>
            <w:r w:rsidRPr="00955B24">
              <w:rPr>
                <w:szCs w:val="24"/>
              </w:rPr>
              <w:t xml:space="preserve"> за результатами розміщення ОВДП через електронні торговельні системи.</w:t>
            </w:r>
          </w:p>
          <w:p w:rsidR="00726AD3" w:rsidRDefault="00726AD3" w:rsidP="00726AD3">
            <w:pPr>
              <w:pStyle w:val="Default"/>
              <w:rPr>
                <w:rFonts w:eastAsia="Times New Roman"/>
                <w:color w:val="auto"/>
              </w:rPr>
            </w:pPr>
            <w:r w:rsidRPr="00F86BC2">
              <w:rPr>
                <w:rFonts w:eastAsia="Times New Roman"/>
                <w:color w:val="auto"/>
              </w:rPr>
              <w:t>6) Інтеграція з системою проведення операцій з рефінансування банків «КредЛайн»</w:t>
            </w:r>
            <w:r>
              <w:rPr>
                <w:rFonts w:eastAsia="Times New Roman"/>
                <w:color w:val="auto"/>
              </w:rPr>
              <w:t xml:space="preserve"> для забезпечення </w:t>
            </w:r>
            <w:r>
              <w:t>операцій блокування/розблокування (обтяження зобов'язаннями/ припинення застави) ЦП за операціями з рефінансування з дотриманням принципу "поставка цінних паперів без оплати".</w:t>
            </w:r>
          </w:p>
          <w:p w:rsidR="00726AD3" w:rsidRPr="007733AB" w:rsidRDefault="00726AD3" w:rsidP="00726AD3">
            <w:pPr>
              <w:pStyle w:val="Default"/>
              <w:rPr>
                <w:lang w:val="ru-RU"/>
              </w:rPr>
            </w:pPr>
            <w:r>
              <w:t xml:space="preserve">7) </w:t>
            </w:r>
            <w:r w:rsidRPr="00F86BC2">
              <w:rPr>
                <w:rFonts w:eastAsia="Times New Roman"/>
                <w:color w:val="auto"/>
              </w:rPr>
              <w:t>Інтеграція з системою</w:t>
            </w:r>
            <w:r>
              <w:rPr>
                <w:rFonts w:eastAsia="Times New Roman"/>
                <w:color w:val="auto"/>
              </w:rPr>
              <w:t xml:space="preserve"> автоматизації готівкового обігу для забезпечення зобов</w:t>
            </w:r>
            <w:r w:rsidRPr="007733AB">
              <w:rPr>
                <w:rFonts w:eastAsia="Times New Roman"/>
                <w:color w:val="auto"/>
                <w:lang w:val="ru-RU"/>
              </w:rPr>
              <w:t>’</w:t>
            </w:r>
            <w:r>
              <w:rPr>
                <w:rFonts w:eastAsia="Times New Roman"/>
                <w:color w:val="auto"/>
                <w:lang w:val="ru-RU"/>
              </w:rPr>
              <w:t>язань за договором зберігання запасів готівки Національного банку.</w:t>
            </w:r>
          </w:p>
        </w:tc>
      </w:tr>
      <w:tr w:rsidR="00726AD3" w:rsidRPr="000E5260" w:rsidTr="00726AD3">
        <w:tc>
          <w:tcPr>
            <w:tcW w:w="553" w:type="dxa"/>
            <w:shd w:val="clear" w:color="auto" w:fill="auto"/>
          </w:tcPr>
          <w:p w:rsidR="00726AD3" w:rsidRPr="004E1FA1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0E5260" w:rsidRDefault="00726AD3" w:rsidP="00726AD3">
            <w:r w:rsidRPr="00766800">
              <w:rPr>
                <w:rFonts w:ascii="Courier New" w:hAnsi="Courier New" w:cs="Courier New"/>
                <w:b/>
                <w:lang w:val="en-US"/>
              </w:rPr>
              <w:t>IK</w:t>
            </w:r>
            <w:r w:rsidRPr="00766800">
              <w:rPr>
                <w:rFonts w:ascii="Courier New" w:hAnsi="Courier New" w:cs="Courier New"/>
                <w:b/>
              </w:rPr>
              <w:t>_</w:t>
            </w:r>
            <w:r w:rsidRPr="00766800">
              <w:rPr>
                <w:rFonts w:ascii="Courier New" w:hAnsi="Courier New" w:cs="Courier New"/>
                <w:b/>
                <w:lang w:val="en-US"/>
              </w:rPr>
              <w:t>CLOUD</w:t>
            </w:r>
          </w:p>
        </w:tc>
        <w:tc>
          <w:tcPr>
            <w:tcW w:w="2853" w:type="dxa"/>
            <w:shd w:val="clear" w:color="auto" w:fill="auto"/>
          </w:tcPr>
          <w:p w:rsidR="00726AD3" w:rsidRPr="000E5260" w:rsidRDefault="00726AD3" w:rsidP="00726AD3">
            <w:r w:rsidRPr="000E5260">
              <w:t xml:space="preserve">Відомості про інформаційно-комунікаційні можливості  програмного продукту щодо роботи із використанням «хмарних» сервісів, які переносять обчислювальні ресурси на віддалені інтернет-сервери </w:t>
            </w:r>
          </w:p>
        </w:tc>
        <w:tc>
          <w:tcPr>
            <w:tcW w:w="4100" w:type="dxa"/>
          </w:tcPr>
          <w:p w:rsidR="00726AD3" w:rsidRPr="000E5260" w:rsidRDefault="00726AD3" w:rsidP="00726AD3">
            <w:pPr>
              <w:jc w:val="center"/>
            </w:pPr>
            <w:r w:rsidRPr="006630C0">
              <w:rPr>
                <w:szCs w:val="24"/>
              </w:rPr>
              <w:t>Не використовується</w:t>
            </w:r>
          </w:p>
        </w:tc>
      </w:tr>
      <w:tr w:rsidR="00726AD3" w:rsidRPr="000E5260" w:rsidTr="00726AD3">
        <w:tc>
          <w:tcPr>
            <w:tcW w:w="553" w:type="dxa"/>
            <w:shd w:val="clear" w:color="auto" w:fill="auto"/>
          </w:tcPr>
          <w:p w:rsidR="00726AD3" w:rsidRPr="000E5260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0E5260" w:rsidRDefault="00726AD3" w:rsidP="00726AD3">
            <w:r w:rsidRPr="00766800">
              <w:rPr>
                <w:rFonts w:ascii="Courier New" w:hAnsi="Courier New" w:cs="Courier New"/>
                <w:b/>
                <w:lang w:val="en-US"/>
              </w:rPr>
              <w:t>IK</w:t>
            </w:r>
            <w:r w:rsidRPr="00766800">
              <w:rPr>
                <w:rFonts w:ascii="Courier New" w:hAnsi="Courier New" w:cs="Courier New"/>
                <w:b/>
              </w:rPr>
              <w:t>_</w:t>
            </w:r>
            <w:r w:rsidRPr="00766800">
              <w:rPr>
                <w:rFonts w:ascii="Courier New" w:hAnsi="Courier New" w:cs="Courier New"/>
                <w:b/>
                <w:lang w:val="en-US"/>
              </w:rPr>
              <w:t>CLOUD</w:t>
            </w:r>
            <w:r>
              <w:rPr>
                <w:rFonts w:ascii="Courier New" w:hAnsi="Courier New" w:cs="Courier New"/>
                <w:b/>
                <w:lang w:val="en-US"/>
              </w:rPr>
              <w:t>TECH</w:t>
            </w:r>
          </w:p>
        </w:tc>
        <w:tc>
          <w:tcPr>
            <w:tcW w:w="2853" w:type="dxa"/>
            <w:shd w:val="clear" w:color="auto" w:fill="auto"/>
          </w:tcPr>
          <w:p w:rsidR="00726AD3" w:rsidRPr="000E5260" w:rsidRDefault="00726AD3" w:rsidP="00726AD3">
            <w:r w:rsidRPr="000E5260">
              <w:t>Відомості про можливості програмного продукту щодо роботи із використанням «хмарних» сервісів: зазначити технологію хмарних обчислень;</w:t>
            </w:r>
          </w:p>
        </w:tc>
        <w:tc>
          <w:tcPr>
            <w:tcW w:w="4100" w:type="dxa"/>
          </w:tcPr>
          <w:p w:rsidR="00726AD3" w:rsidRPr="000E5260" w:rsidRDefault="00726AD3" w:rsidP="00726AD3">
            <w:pPr>
              <w:jc w:val="center"/>
            </w:pPr>
            <w:r w:rsidRPr="006630C0">
              <w:rPr>
                <w:b/>
                <w:szCs w:val="24"/>
              </w:rPr>
              <w:t>-</w:t>
            </w:r>
          </w:p>
        </w:tc>
      </w:tr>
      <w:tr w:rsidR="00726AD3" w:rsidRPr="000E5260" w:rsidTr="00726AD3">
        <w:tc>
          <w:tcPr>
            <w:tcW w:w="553" w:type="dxa"/>
            <w:shd w:val="clear" w:color="auto" w:fill="auto"/>
          </w:tcPr>
          <w:p w:rsidR="00726AD3" w:rsidRPr="000E5260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0E5260" w:rsidRDefault="00726AD3" w:rsidP="00726AD3">
            <w:r w:rsidRPr="00766800">
              <w:rPr>
                <w:rFonts w:ascii="Courier New" w:hAnsi="Courier New" w:cs="Courier New"/>
                <w:b/>
                <w:lang w:val="en-US"/>
              </w:rPr>
              <w:t>IK</w:t>
            </w:r>
            <w:r w:rsidRPr="00766800">
              <w:rPr>
                <w:rFonts w:ascii="Courier New" w:hAnsi="Courier New" w:cs="Courier New"/>
                <w:b/>
              </w:rPr>
              <w:t>_</w:t>
            </w:r>
            <w:r w:rsidRPr="00766800">
              <w:rPr>
                <w:rFonts w:ascii="Courier New" w:hAnsi="Courier New" w:cs="Courier New"/>
                <w:b/>
                <w:lang w:val="en-US"/>
              </w:rPr>
              <w:t>CLOUD</w:t>
            </w:r>
            <w:r>
              <w:rPr>
                <w:rFonts w:ascii="Courier New" w:hAnsi="Courier New" w:cs="Courier New"/>
                <w:b/>
                <w:lang w:val="en-US"/>
              </w:rPr>
              <w:t>MAKER</w:t>
            </w:r>
          </w:p>
        </w:tc>
        <w:tc>
          <w:tcPr>
            <w:tcW w:w="2853" w:type="dxa"/>
            <w:shd w:val="clear" w:color="auto" w:fill="auto"/>
          </w:tcPr>
          <w:p w:rsidR="00726AD3" w:rsidRPr="000E5260" w:rsidRDefault="00726AD3" w:rsidP="00726AD3">
            <w:r w:rsidRPr="000E5260">
              <w:t>Відомості про можливості програмного продукту щодо роботи із використанням «хмарних» сервісів: зазначити  найменування та реквізити юридичної особи – власника сервісу;</w:t>
            </w:r>
          </w:p>
        </w:tc>
        <w:tc>
          <w:tcPr>
            <w:tcW w:w="4100" w:type="dxa"/>
          </w:tcPr>
          <w:p w:rsidR="00726AD3" w:rsidRPr="000E5260" w:rsidRDefault="00726AD3" w:rsidP="00726AD3">
            <w:pPr>
              <w:jc w:val="center"/>
            </w:pPr>
            <w:r w:rsidRPr="006630C0">
              <w:rPr>
                <w:b/>
                <w:szCs w:val="24"/>
                <w:lang w:val="ru-RU"/>
              </w:rPr>
              <w:t>-</w:t>
            </w:r>
          </w:p>
        </w:tc>
      </w:tr>
      <w:tr w:rsidR="00726AD3" w:rsidRPr="000E5260" w:rsidTr="00726AD3">
        <w:tc>
          <w:tcPr>
            <w:tcW w:w="553" w:type="dxa"/>
            <w:shd w:val="clear" w:color="auto" w:fill="auto"/>
          </w:tcPr>
          <w:p w:rsidR="00726AD3" w:rsidRPr="000E5260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0E5260" w:rsidRDefault="00726AD3" w:rsidP="00726AD3">
            <w:r w:rsidRPr="00766800">
              <w:rPr>
                <w:rFonts w:ascii="Courier New" w:hAnsi="Courier New" w:cs="Courier New"/>
                <w:b/>
                <w:lang w:val="en-US"/>
              </w:rPr>
              <w:t>IK</w:t>
            </w:r>
            <w:r w:rsidRPr="00766800">
              <w:rPr>
                <w:rFonts w:ascii="Courier New" w:hAnsi="Courier New" w:cs="Courier New"/>
                <w:b/>
              </w:rPr>
              <w:t>_</w:t>
            </w:r>
            <w:r w:rsidRPr="00766800">
              <w:rPr>
                <w:rFonts w:ascii="Courier New" w:hAnsi="Courier New" w:cs="Courier New"/>
                <w:b/>
                <w:lang w:val="en-US"/>
              </w:rPr>
              <w:t>CLOUD</w:t>
            </w:r>
            <w:r>
              <w:rPr>
                <w:rFonts w:ascii="Courier New" w:hAnsi="Courier New" w:cs="Courier New"/>
                <w:b/>
                <w:lang w:val="en-US"/>
              </w:rPr>
              <w:t>ADR</w:t>
            </w:r>
          </w:p>
        </w:tc>
        <w:tc>
          <w:tcPr>
            <w:tcW w:w="2853" w:type="dxa"/>
            <w:shd w:val="clear" w:color="auto" w:fill="auto"/>
          </w:tcPr>
          <w:p w:rsidR="00726AD3" w:rsidRPr="000E5260" w:rsidRDefault="00726AD3" w:rsidP="00726AD3">
            <w:r w:rsidRPr="000E5260">
              <w:t xml:space="preserve">Відомості про можливості програмного </w:t>
            </w:r>
            <w:r w:rsidRPr="000E5260">
              <w:lastRenderedPageBreak/>
              <w:t>продукту щодо роботи із використанням «хмарних» сервісів: зазначити місце розташування серверів хмарної інфраструктури;</w:t>
            </w:r>
          </w:p>
        </w:tc>
        <w:tc>
          <w:tcPr>
            <w:tcW w:w="4100" w:type="dxa"/>
          </w:tcPr>
          <w:p w:rsidR="00726AD3" w:rsidRPr="000E5260" w:rsidRDefault="00726AD3" w:rsidP="00726AD3">
            <w:pPr>
              <w:jc w:val="center"/>
            </w:pPr>
            <w:r w:rsidRPr="006630C0">
              <w:rPr>
                <w:b/>
                <w:szCs w:val="24"/>
              </w:rPr>
              <w:lastRenderedPageBreak/>
              <w:t>-</w:t>
            </w:r>
          </w:p>
        </w:tc>
      </w:tr>
      <w:tr w:rsidR="00726AD3" w:rsidRPr="000E5260" w:rsidTr="00726AD3">
        <w:tc>
          <w:tcPr>
            <w:tcW w:w="553" w:type="dxa"/>
            <w:shd w:val="clear" w:color="auto" w:fill="auto"/>
          </w:tcPr>
          <w:p w:rsidR="00726AD3" w:rsidRPr="000E5260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0E5260" w:rsidRDefault="00726AD3" w:rsidP="00726AD3">
            <w:r w:rsidRPr="00766800">
              <w:rPr>
                <w:rFonts w:ascii="Courier New" w:hAnsi="Courier New" w:cs="Courier New"/>
                <w:b/>
                <w:lang w:val="en-US"/>
              </w:rPr>
              <w:t>IK</w:t>
            </w:r>
            <w:r w:rsidRPr="00766800">
              <w:rPr>
                <w:rFonts w:ascii="Courier New" w:hAnsi="Courier New" w:cs="Courier New"/>
                <w:b/>
              </w:rPr>
              <w:t>_</w:t>
            </w:r>
            <w:r w:rsidRPr="00766800">
              <w:rPr>
                <w:rFonts w:ascii="Courier New" w:hAnsi="Courier New" w:cs="Courier New"/>
                <w:b/>
                <w:lang w:val="en-US"/>
              </w:rPr>
              <w:t>CLOUD</w:t>
            </w:r>
            <w:r>
              <w:rPr>
                <w:rFonts w:ascii="Courier New" w:hAnsi="Courier New" w:cs="Courier New"/>
                <w:b/>
                <w:lang w:val="en-US"/>
              </w:rPr>
              <w:t>DEF</w:t>
            </w:r>
          </w:p>
        </w:tc>
        <w:tc>
          <w:tcPr>
            <w:tcW w:w="2853" w:type="dxa"/>
            <w:shd w:val="clear" w:color="auto" w:fill="auto"/>
          </w:tcPr>
          <w:p w:rsidR="00726AD3" w:rsidRPr="000E5260" w:rsidRDefault="00726AD3" w:rsidP="00726AD3">
            <w:r w:rsidRPr="000E5260">
              <w:t>Відомості про можливості програмного продукту щодо роботи із використанням «хмарних» сервісів: опис стану захищеності сервісу, наявність сертифікатів (атестатів відповідності) системи захисту інформації сервісу, сертифікатів на систему управління якістю</w:t>
            </w:r>
          </w:p>
        </w:tc>
        <w:tc>
          <w:tcPr>
            <w:tcW w:w="4100" w:type="dxa"/>
          </w:tcPr>
          <w:p w:rsidR="00726AD3" w:rsidRPr="000E5260" w:rsidRDefault="00726AD3" w:rsidP="00726AD3">
            <w:pPr>
              <w:jc w:val="center"/>
              <w:rPr>
                <w:lang w:val="en-US"/>
              </w:rPr>
            </w:pPr>
            <w:r w:rsidRPr="006630C0">
              <w:rPr>
                <w:b/>
                <w:szCs w:val="24"/>
              </w:rPr>
              <w:t>-</w:t>
            </w:r>
          </w:p>
        </w:tc>
      </w:tr>
      <w:tr w:rsidR="00726AD3" w:rsidRPr="000E5260" w:rsidTr="00726AD3">
        <w:tc>
          <w:tcPr>
            <w:tcW w:w="553" w:type="dxa"/>
            <w:shd w:val="clear" w:color="auto" w:fill="auto"/>
          </w:tcPr>
          <w:p w:rsidR="00726AD3" w:rsidRPr="000E5260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0E5260" w:rsidRDefault="00726AD3" w:rsidP="00726AD3">
            <w:r w:rsidRPr="00766800">
              <w:rPr>
                <w:rFonts w:ascii="Courier New" w:hAnsi="Courier New" w:cs="Courier New"/>
                <w:b/>
                <w:lang w:val="en-US"/>
              </w:rPr>
              <w:t>Z</w:t>
            </w:r>
            <w:r>
              <w:rPr>
                <w:rFonts w:ascii="Courier New" w:hAnsi="Courier New" w:cs="Courier New"/>
                <w:b/>
                <w:lang w:val="en-US"/>
              </w:rPr>
              <w:t>M</w:t>
            </w:r>
            <w:r w:rsidRPr="00766800">
              <w:rPr>
                <w:rFonts w:ascii="Courier New" w:hAnsi="Courier New" w:cs="Courier New"/>
                <w:b/>
              </w:rPr>
              <w:t>_</w:t>
            </w:r>
            <w:r w:rsidRPr="00766800">
              <w:rPr>
                <w:rFonts w:ascii="Courier New" w:hAnsi="Courier New" w:cs="Courier New"/>
                <w:b/>
                <w:lang w:val="en-US"/>
              </w:rPr>
              <w:t>OPIS</w:t>
            </w:r>
          </w:p>
        </w:tc>
        <w:tc>
          <w:tcPr>
            <w:tcW w:w="2853" w:type="dxa"/>
            <w:shd w:val="clear" w:color="auto" w:fill="auto"/>
          </w:tcPr>
          <w:p w:rsidR="00726AD3" w:rsidRPr="000E5260" w:rsidRDefault="00726AD3" w:rsidP="00726AD3">
            <w:r w:rsidRPr="000E5260">
              <w:t>Відомості стосовно змін функціональних можливостей програмного продукту (заповнюється у разі змін)</w:t>
            </w:r>
            <w:r w:rsidRPr="000E5260">
              <w:rPr>
                <w:lang w:val="ru-RU"/>
              </w:rPr>
              <w:t xml:space="preserve"> - </w:t>
            </w:r>
            <w:r w:rsidRPr="000E5260">
              <w:t>опис змін до функціональних можливостей програмного продукту</w:t>
            </w:r>
            <w:r w:rsidRPr="000E5260">
              <w:rPr>
                <w:lang w:val="ru-RU"/>
              </w:rPr>
              <w:t xml:space="preserve"> (</w:t>
            </w:r>
            <w:r w:rsidRPr="000E5260">
              <w:t>у разі здійснення операцій з торгівлі цінними паперами на фондовій біржі окремо зазначити, чи використовується програмний продукт як бот</w:t>
            </w:r>
            <w:r w:rsidRPr="000E5260">
              <w:rPr>
                <w:lang w:val="ru-RU"/>
              </w:rPr>
              <w:t>)</w:t>
            </w:r>
            <w:r w:rsidRPr="000E5260">
              <w:t>.</w:t>
            </w:r>
          </w:p>
        </w:tc>
        <w:tc>
          <w:tcPr>
            <w:tcW w:w="4100" w:type="dxa"/>
          </w:tcPr>
          <w:p w:rsidR="00726AD3" w:rsidRPr="000E5260" w:rsidRDefault="00726AD3" w:rsidP="00726AD3">
            <w:pPr>
              <w:jc w:val="center"/>
            </w:pPr>
            <w:r w:rsidRPr="006630C0">
              <w:rPr>
                <w:b/>
                <w:szCs w:val="24"/>
              </w:rPr>
              <w:t>-</w:t>
            </w:r>
          </w:p>
        </w:tc>
      </w:tr>
      <w:tr w:rsidR="00726AD3" w:rsidRPr="000E5260" w:rsidTr="00726AD3">
        <w:tc>
          <w:tcPr>
            <w:tcW w:w="553" w:type="dxa"/>
            <w:shd w:val="clear" w:color="auto" w:fill="auto"/>
          </w:tcPr>
          <w:p w:rsidR="00726AD3" w:rsidRPr="000E5260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0E5260" w:rsidRDefault="00726AD3" w:rsidP="00726AD3">
            <w:r>
              <w:rPr>
                <w:rFonts w:ascii="Courier New" w:hAnsi="Courier New" w:cs="Courier New"/>
                <w:b/>
              </w:rPr>
              <w:t>Z</w:t>
            </w:r>
            <w:r>
              <w:rPr>
                <w:rFonts w:ascii="Courier New" w:hAnsi="Courier New" w:cs="Courier New"/>
                <w:b/>
                <w:lang w:val="en-US"/>
              </w:rPr>
              <w:t>M</w:t>
            </w:r>
            <w:r>
              <w:rPr>
                <w:rFonts w:ascii="Courier New" w:hAnsi="Courier New" w:cs="Courier New"/>
                <w:b/>
              </w:rPr>
              <w:t>_</w:t>
            </w:r>
            <w:r w:rsidRPr="00766800">
              <w:rPr>
                <w:rFonts w:ascii="Courier New" w:hAnsi="Courier New" w:cs="Courier New"/>
                <w:b/>
                <w:lang w:val="en-US"/>
              </w:rPr>
              <w:t>VIDMOVA</w:t>
            </w:r>
          </w:p>
        </w:tc>
        <w:tc>
          <w:tcPr>
            <w:tcW w:w="2853" w:type="dxa"/>
            <w:shd w:val="clear" w:color="auto" w:fill="auto"/>
          </w:tcPr>
          <w:p w:rsidR="00726AD3" w:rsidRPr="000E5260" w:rsidRDefault="00726AD3" w:rsidP="00726AD3">
            <w:r w:rsidRPr="000E5260">
              <w:t>Відомості щодо відмови від використання програмного продукту, який замінено («0» - ні (відмови нема), «1» -</w:t>
            </w:r>
            <w:r w:rsidRPr="000E5260">
              <w:rPr>
                <w:lang w:val="ru-RU"/>
              </w:rPr>
              <w:t xml:space="preserve"> так (</w:t>
            </w:r>
            <w:r w:rsidRPr="000E5260">
              <w:t>відмова))</w:t>
            </w:r>
            <w:r w:rsidRPr="000E5260">
              <w:rPr>
                <w:lang w:val="ru-RU"/>
              </w:rPr>
              <w:t xml:space="preserve"> </w:t>
            </w:r>
            <w:r w:rsidRPr="000E5260">
              <w:t>(заповнюється у разі змін).</w:t>
            </w:r>
          </w:p>
        </w:tc>
        <w:tc>
          <w:tcPr>
            <w:tcW w:w="4100" w:type="dxa"/>
          </w:tcPr>
          <w:p w:rsidR="00726AD3" w:rsidRPr="00E25F80" w:rsidRDefault="00E25F80" w:rsidP="00E25F80">
            <w:pPr>
              <w:jc w:val="center"/>
              <w:rPr>
                <w:lang w:val="en-US"/>
              </w:rPr>
            </w:pPr>
            <w:r>
              <w:t>-</w:t>
            </w:r>
          </w:p>
        </w:tc>
      </w:tr>
      <w:tr w:rsidR="00726AD3" w:rsidRPr="000E5260" w:rsidTr="00726AD3">
        <w:tc>
          <w:tcPr>
            <w:tcW w:w="553" w:type="dxa"/>
            <w:shd w:val="clear" w:color="auto" w:fill="auto"/>
          </w:tcPr>
          <w:p w:rsidR="00726AD3" w:rsidRPr="000E5260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0E5260" w:rsidRDefault="00726AD3" w:rsidP="00726AD3">
            <w:r w:rsidRPr="00766800">
              <w:rPr>
                <w:rFonts w:ascii="Courier New" w:hAnsi="Courier New" w:cs="Courier New"/>
                <w:b/>
              </w:rPr>
              <w:t>Z</w:t>
            </w:r>
            <w:r>
              <w:rPr>
                <w:rFonts w:ascii="Courier New" w:hAnsi="Courier New" w:cs="Courier New"/>
                <w:b/>
                <w:lang w:val="en-US"/>
              </w:rPr>
              <w:t>M</w:t>
            </w:r>
            <w:r w:rsidRPr="00766800">
              <w:rPr>
                <w:rFonts w:ascii="Courier New" w:hAnsi="Courier New" w:cs="Courier New"/>
                <w:b/>
              </w:rPr>
              <w:t>_P_</w:t>
            </w:r>
            <w:r w:rsidRPr="00766800">
              <w:rPr>
                <w:rFonts w:ascii="Courier New" w:hAnsi="Courier New" w:cs="Courier New"/>
                <w:b/>
                <w:lang w:val="en-US"/>
              </w:rPr>
              <w:t>VIDMOVA</w:t>
            </w:r>
          </w:p>
        </w:tc>
        <w:tc>
          <w:tcPr>
            <w:tcW w:w="2853" w:type="dxa"/>
            <w:shd w:val="clear" w:color="auto" w:fill="auto"/>
          </w:tcPr>
          <w:p w:rsidR="00726AD3" w:rsidRPr="000E5260" w:rsidRDefault="00726AD3" w:rsidP="00726AD3">
            <w:r w:rsidRPr="000E5260">
              <w:t>Відомості щодо причин відмови від використання програмного продукту, який замінено (заповнюється у разі змін).</w:t>
            </w:r>
          </w:p>
        </w:tc>
        <w:tc>
          <w:tcPr>
            <w:tcW w:w="4100" w:type="dxa"/>
          </w:tcPr>
          <w:p w:rsidR="00726AD3" w:rsidRPr="000E5260" w:rsidRDefault="00E25F80" w:rsidP="00E25F80">
            <w:pPr>
              <w:jc w:val="center"/>
            </w:pPr>
            <w:r>
              <w:t>-</w:t>
            </w:r>
          </w:p>
        </w:tc>
      </w:tr>
      <w:tr w:rsidR="00726AD3" w:rsidRPr="000E5260" w:rsidTr="00726AD3">
        <w:tc>
          <w:tcPr>
            <w:tcW w:w="553" w:type="dxa"/>
            <w:shd w:val="clear" w:color="auto" w:fill="auto"/>
          </w:tcPr>
          <w:p w:rsidR="00726AD3" w:rsidRPr="000E5260" w:rsidRDefault="00726AD3" w:rsidP="00726AD3">
            <w:pPr>
              <w:numPr>
                <w:ilvl w:val="0"/>
                <w:numId w:val="21"/>
              </w:numPr>
              <w:ind w:left="357" w:hanging="357"/>
              <w:jc w:val="both"/>
            </w:pPr>
          </w:p>
        </w:tc>
        <w:tc>
          <w:tcPr>
            <w:tcW w:w="2089" w:type="dxa"/>
            <w:shd w:val="clear" w:color="auto" w:fill="auto"/>
          </w:tcPr>
          <w:p w:rsidR="00726AD3" w:rsidRPr="000E5260" w:rsidRDefault="00726AD3" w:rsidP="00726AD3">
            <w:r w:rsidRPr="00360F82">
              <w:rPr>
                <w:rFonts w:ascii="Courier New" w:hAnsi="Courier New" w:cs="Courier New"/>
                <w:b/>
              </w:rPr>
              <w:t>Z_P_PRIM</w:t>
            </w:r>
          </w:p>
        </w:tc>
        <w:tc>
          <w:tcPr>
            <w:tcW w:w="2853" w:type="dxa"/>
            <w:shd w:val="clear" w:color="auto" w:fill="auto"/>
          </w:tcPr>
          <w:p w:rsidR="00726AD3" w:rsidRPr="006630C0" w:rsidRDefault="00726AD3" w:rsidP="00726AD3">
            <w:pPr>
              <w:rPr>
                <w:lang w:val="ru-RU"/>
              </w:rPr>
            </w:pPr>
            <w:r w:rsidRPr="000E5260">
              <w:t xml:space="preserve">Інша інформація, яка необхідна для повного і всебічного розуміння конкретних умов функціонування </w:t>
            </w:r>
            <w:r w:rsidRPr="000E5260">
              <w:lastRenderedPageBreak/>
              <w:t xml:space="preserve">програмного продукту для забезпечення професійної діяльності на фондовому ринку </w:t>
            </w:r>
            <w:r w:rsidRPr="000E5260">
              <w:rPr>
                <w:lang w:val="ru-RU"/>
              </w:rPr>
              <w:t>(</w:t>
            </w:r>
            <w:r w:rsidRPr="000E5260">
              <w:t>у разі наявності</w:t>
            </w:r>
            <w:r w:rsidRPr="000E5260">
              <w:rPr>
                <w:lang w:val="ru-RU"/>
              </w:rPr>
              <w:t>)</w:t>
            </w:r>
          </w:p>
        </w:tc>
        <w:tc>
          <w:tcPr>
            <w:tcW w:w="4100" w:type="dxa"/>
          </w:tcPr>
          <w:p w:rsidR="00726AD3" w:rsidRPr="006630C0" w:rsidRDefault="00E25F80" w:rsidP="00E25F80">
            <w:pPr>
              <w:jc w:val="center"/>
            </w:pPr>
            <w:r>
              <w:lastRenderedPageBreak/>
              <w:t>-</w:t>
            </w:r>
          </w:p>
        </w:tc>
      </w:tr>
    </w:tbl>
    <w:p w:rsidR="002654B6" w:rsidRDefault="002654B6" w:rsidP="002654B6">
      <w:pPr>
        <w:rPr>
          <w:sz w:val="28"/>
          <w:szCs w:val="28"/>
          <w:lang w:eastAsia="ru-RU"/>
        </w:rPr>
      </w:pPr>
    </w:p>
    <w:p w:rsidR="00762B37" w:rsidRDefault="00762B37" w:rsidP="00762B37">
      <w:pPr>
        <w:jc w:val="both"/>
        <w:rPr>
          <w:b/>
          <w:bCs/>
          <w:sz w:val="28"/>
          <w:szCs w:val="28"/>
        </w:rPr>
      </w:pPr>
    </w:p>
    <w:p w:rsidR="00D93C7B" w:rsidRPr="005E1447" w:rsidRDefault="00D93C7B" w:rsidP="005A0288">
      <w:pPr>
        <w:rPr>
          <w:sz w:val="28"/>
          <w:szCs w:val="28"/>
          <w:lang w:eastAsia="ru-RU"/>
        </w:rPr>
      </w:pPr>
    </w:p>
    <w:p w:rsidR="002B474B" w:rsidRDefault="002B474B" w:rsidP="00EB401B">
      <w:pPr>
        <w:pStyle w:val="a5"/>
        <w:ind w:right="0" w:firstLine="567"/>
        <w:jc w:val="right"/>
        <w:rPr>
          <w:lang w:eastAsia="zh-CN"/>
        </w:rPr>
      </w:pPr>
    </w:p>
    <w:sectPr w:rsidR="002B474B" w:rsidSect="005960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Додаток %1."/>
      <w:lvlJc w:val="left"/>
      <w:pPr>
        <w:tabs>
          <w:tab w:val="num" w:pos="632"/>
        </w:tabs>
        <w:ind w:left="1352" w:hanging="360"/>
      </w:pPr>
    </w:lvl>
  </w:abstractNum>
  <w:abstractNum w:abstractNumId="1" w15:restartNumberingAfterBreak="0">
    <w:nsid w:val="00000008"/>
    <w:multiLevelType w:val="singleLevel"/>
    <w:tmpl w:val="109C902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A"/>
    <w:multiLevelType w:val="singleLevel"/>
    <w:tmpl w:val="91E0AEA2"/>
    <w:name w:val="WW8Num16"/>
    <w:lvl w:ilvl="0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b w:val="0"/>
      </w:rPr>
    </w:lvl>
  </w:abstractNum>
  <w:abstractNum w:abstractNumId="3" w15:restartNumberingAfterBreak="0">
    <w:nsid w:val="0000000B"/>
    <w:multiLevelType w:val="singleLevel"/>
    <w:tmpl w:val="4A98265E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 w15:restartNumberingAfterBreak="0">
    <w:nsid w:val="0000000C"/>
    <w:multiLevelType w:val="singleLevel"/>
    <w:tmpl w:val="0000000C"/>
    <w:name w:val="WW8Num18"/>
    <w:lvl w:ilvl="0">
      <w:start w:val="1"/>
      <w:numFmt w:val="bullet"/>
      <w:pStyle w:val="a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</w:rPr>
    </w:lvl>
  </w:abstractNum>
  <w:abstractNum w:abstractNumId="5" w15:restartNumberingAfterBreak="0">
    <w:nsid w:val="00000012"/>
    <w:multiLevelType w:val="singleLevel"/>
    <w:tmpl w:val="DF60E2B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6" w15:restartNumberingAfterBreak="0">
    <w:nsid w:val="00000016"/>
    <w:multiLevelType w:val="singleLevel"/>
    <w:tmpl w:val="00000016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17"/>
    <w:multiLevelType w:val="singleLevel"/>
    <w:tmpl w:val="00000017"/>
    <w:name w:val="WW8Num29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F794411"/>
    <w:multiLevelType w:val="hybridMultilevel"/>
    <w:tmpl w:val="27008EC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63751"/>
    <w:multiLevelType w:val="hybridMultilevel"/>
    <w:tmpl w:val="FBD85498"/>
    <w:lvl w:ilvl="0" w:tplc="C694AA66">
      <w:start w:val="1"/>
      <w:numFmt w:val="decimal"/>
      <w:lvlText w:val="Додаток 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7B92EA4"/>
    <w:multiLevelType w:val="hybridMultilevel"/>
    <w:tmpl w:val="C63A5308"/>
    <w:lvl w:ilvl="0" w:tplc="E6A88148">
      <w:start w:val="1"/>
      <w:numFmt w:val="decimal"/>
      <w:lvlText w:val="%1."/>
      <w:lvlJc w:val="left"/>
      <w:pPr>
        <w:ind w:left="1287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B482336"/>
    <w:multiLevelType w:val="hybridMultilevel"/>
    <w:tmpl w:val="96F00A1A"/>
    <w:lvl w:ilvl="0" w:tplc="1E7E2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B2AF8"/>
    <w:multiLevelType w:val="hybridMultilevel"/>
    <w:tmpl w:val="D618F316"/>
    <w:lvl w:ilvl="0" w:tplc="B4B03B14">
      <w:start w:val="8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383A5451"/>
    <w:multiLevelType w:val="hybridMultilevel"/>
    <w:tmpl w:val="78224638"/>
    <w:lvl w:ilvl="0" w:tplc="91E0AE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73D2D"/>
    <w:multiLevelType w:val="hybridMultilevel"/>
    <w:tmpl w:val="56A43808"/>
    <w:lvl w:ilvl="0" w:tplc="0422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29E5A71"/>
    <w:multiLevelType w:val="hybridMultilevel"/>
    <w:tmpl w:val="F4B429B6"/>
    <w:lvl w:ilvl="0" w:tplc="A28C6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457F02"/>
    <w:multiLevelType w:val="hybridMultilevel"/>
    <w:tmpl w:val="58D8C8CA"/>
    <w:lvl w:ilvl="0" w:tplc="9662D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B523A5"/>
    <w:multiLevelType w:val="hybridMultilevel"/>
    <w:tmpl w:val="642ED0A8"/>
    <w:lvl w:ilvl="0" w:tplc="F27891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C13A1E"/>
    <w:multiLevelType w:val="hybridMultilevel"/>
    <w:tmpl w:val="92904AEC"/>
    <w:lvl w:ilvl="0" w:tplc="0194ECB6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 w15:restartNumberingAfterBreak="0">
    <w:nsid w:val="5E3B4E6D"/>
    <w:multiLevelType w:val="hybridMultilevel"/>
    <w:tmpl w:val="EAB82A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1141F"/>
    <w:multiLevelType w:val="hybridMultilevel"/>
    <w:tmpl w:val="4DD2BEFA"/>
    <w:lvl w:ilvl="0" w:tplc="DDE05A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31BB8"/>
    <w:multiLevelType w:val="hybridMultilevel"/>
    <w:tmpl w:val="161EC53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80C83"/>
    <w:multiLevelType w:val="hybridMultilevel"/>
    <w:tmpl w:val="082E09A8"/>
    <w:lvl w:ilvl="0" w:tplc="B89CEBB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F405B4"/>
    <w:multiLevelType w:val="hybridMultilevel"/>
    <w:tmpl w:val="D6D2BA40"/>
    <w:lvl w:ilvl="0" w:tplc="00000002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910672"/>
    <w:multiLevelType w:val="hybridMultilevel"/>
    <w:tmpl w:val="0258371E"/>
    <w:lvl w:ilvl="0" w:tplc="9E34B8E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570B78"/>
    <w:multiLevelType w:val="hybridMultilevel"/>
    <w:tmpl w:val="5792D7EA"/>
    <w:lvl w:ilvl="0" w:tplc="B91276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92F4C"/>
    <w:multiLevelType w:val="hybridMultilevel"/>
    <w:tmpl w:val="EA60F9D2"/>
    <w:lvl w:ilvl="0" w:tplc="BA1430FE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7C1A3A39"/>
    <w:multiLevelType w:val="hybridMultilevel"/>
    <w:tmpl w:val="C8F4C320"/>
    <w:lvl w:ilvl="0" w:tplc="F27891F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27"/>
  </w:num>
  <w:num w:numId="4">
    <w:abstractNumId w:val="2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14"/>
  </w:num>
  <w:num w:numId="11">
    <w:abstractNumId w:val="0"/>
  </w:num>
  <w:num w:numId="12">
    <w:abstractNumId w:val="7"/>
  </w:num>
  <w:num w:numId="13">
    <w:abstractNumId w:val="24"/>
  </w:num>
  <w:num w:numId="14">
    <w:abstractNumId w:val="5"/>
  </w:num>
  <w:num w:numId="15">
    <w:abstractNumId w:val="8"/>
  </w:num>
  <w:num w:numId="16">
    <w:abstractNumId w:val="11"/>
  </w:num>
  <w:num w:numId="17">
    <w:abstractNumId w:val="23"/>
  </w:num>
  <w:num w:numId="18">
    <w:abstractNumId w:val="16"/>
  </w:num>
  <w:num w:numId="19">
    <w:abstractNumId w:val="22"/>
  </w:num>
  <w:num w:numId="20">
    <w:abstractNumId w:val="18"/>
  </w:num>
  <w:num w:numId="21">
    <w:abstractNumId w:val="9"/>
  </w:num>
  <w:num w:numId="22">
    <w:abstractNumId w:val="10"/>
  </w:num>
  <w:num w:numId="23">
    <w:abstractNumId w:val="25"/>
  </w:num>
  <w:num w:numId="24">
    <w:abstractNumId w:val="28"/>
  </w:num>
  <w:num w:numId="25">
    <w:abstractNumId w:val="12"/>
  </w:num>
  <w:num w:numId="26">
    <w:abstractNumId w:val="26"/>
  </w:num>
  <w:num w:numId="27">
    <w:abstractNumId w:val="21"/>
  </w:num>
  <w:num w:numId="28">
    <w:abstractNumId w:val="17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CDF"/>
    <w:rsid w:val="00033EE9"/>
    <w:rsid w:val="0004392F"/>
    <w:rsid w:val="00046B13"/>
    <w:rsid w:val="00084B91"/>
    <w:rsid w:val="000A7431"/>
    <w:rsid w:val="000B299B"/>
    <w:rsid w:val="000C074A"/>
    <w:rsid w:val="000D13D7"/>
    <w:rsid w:val="000D634E"/>
    <w:rsid w:val="000E5260"/>
    <w:rsid w:val="000F0083"/>
    <w:rsid w:val="00100D2F"/>
    <w:rsid w:val="00101B5B"/>
    <w:rsid w:val="00103B17"/>
    <w:rsid w:val="00124756"/>
    <w:rsid w:val="001347E8"/>
    <w:rsid w:val="00141CDF"/>
    <w:rsid w:val="00143FEE"/>
    <w:rsid w:val="0014682A"/>
    <w:rsid w:val="0014738F"/>
    <w:rsid w:val="00153C83"/>
    <w:rsid w:val="00160252"/>
    <w:rsid w:val="00164BBB"/>
    <w:rsid w:val="00172343"/>
    <w:rsid w:val="0018679C"/>
    <w:rsid w:val="001C0496"/>
    <w:rsid w:val="001C62E0"/>
    <w:rsid w:val="001D30B9"/>
    <w:rsid w:val="001E6E0D"/>
    <w:rsid w:val="0021270A"/>
    <w:rsid w:val="00236E38"/>
    <w:rsid w:val="00245FEA"/>
    <w:rsid w:val="0025490B"/>
    <w:rsid w:val="002654B6"/>
    <w:rsid w:val="0027111D"/>
    <w:rsid w:val="002769FC"/>
    <w:rsid w:val="0029322F"/>
    <w:rsid w:val="002A1AAE"/>
    <w:rsid w:val="002B474B"/>
    <w:rsid w:val="002E5528"/>
    <w:rsid w:val="002E5BAC"/>
    <w:rsid w:val="003159D1"/>
    <w:rsid w:val="0033190A"/>
    <w:rsid w:val="0033221B"/>
    <w:rsid w:val="00346867"/>
    <w:rsid w:val="00360F82"/>
    <w:rsid w:val="0036345B"/>
    <w:rsid w:val="003A0817"/>
    <w:rsid w:val="003C1E28"/>
    <w:rsid w:val="003C26B0"/>
    <w:rsid w:val="003C3677"/>
    <w:rsid w:val="003C645A"/>
    <w:rsid w:val="003D33EC"/>
    <w:rsid w:val="003E086B"/>
    <w:rsid w:val="003E25C9"/>
    <w:rsid w:val="00400332"/>
    <w:rsid w:val="004027FD"/>
    <w:rsid w:val="004073C6"/>
    <w:rsid w:val="00415ACF"/>
    <w:rsid w:val="004174A6"/>
    <w:rsid w:val="00430A16"/>
    <w:rsid w:val="004376D8"/>
    <w:rsid w:val="00461E37"/>
    <w:rsid w:val="00463F0A"/>
    <w:rsid w:val="0047558D"/>
    <w:rsid w:val="004865D5"/>
    <w:rsid w:val="00491BF7"/>
    <w:rsid w:val="004C3FA1"/>
    <w:rsid w:val="004D43B0"/>
    <w:rsid w:val="004D75CD"/>
    <w:rsid w:val="004E0080"/>
    <w:rsid w:val="00504621"/>
    <w:rsid w:val="005104EE"/>
    <w:rsid w:val="0054258D"/>
    <w:rsid w:val="00545F46"/>
    <w:rsid w:val="00547D96"/>
    <w:rsid w:val="0056387E"/>
    <w:rsid w:val="00571E32"/>
    <w:rsid w:val="005744B8"/>
    <w:rsid w:val="005800B1"/>
    <w:rsid w:val="0059604C"/>
    <w:rsid w:val="005A0288"/>
    <w:rsid w:val="005B0861"/>
    <w:rsid w:val="005B1C87"/>
    <w:rsid w:val="005D0DE9"/>
    <w:rsid w:val="005E1447"/>
    <w:rsid w:val="005E29AB"/>
    <w:rsid w:val="005E448F"/>
    <w:rsid w:val="005E6FED"/>
    <w:rsid w:val="0063630D"/>
    <w:rsid w:val="00636F84"/>
    <w:rsid w:val="00647CDE"/>
    <w:rsid w:val="006630C0"/>
    <w:rsid w:val="0068247F"/>
    <w:rsid w:val="00687E7B"/>
    <w:rsid w:val="00693C3B"/>
    <w:rsid w:val="006A348C"/>
    <w:rsid w:val="006B2AAC"/>
    <w:rsid w:val="006B6015"/>
    <w:rsid w:val="00701F44"/>
    <w:rsid w:val="00704DE7"/>
    <w:rsid w:val="0071156A"/>
    <w:rsid w:val="00714892"/>
    <w:rsid w:val="0072457B"/>
    <w:rsid w:val="00726AD3"/>
    <w:rsid w:val="00762B37"/>
    <w:rsid w:val="00766800"/>
    <w:rsid w:val="007733AB"/>
    <w:rsid w:val="00775906"/>
    <w:rsid w:val="00781CD7"/>
    <w:rsid w:val="00794A83"/>
    <w:rsid w:val="007C15D5"/>
    <w:rsid w:val="007F0944"/>
    <w:rsid w:val="0081168B"/>
    <w:rsid w:val="008362E1"/>
    <w:rsid w:val="0084090E"/>
    <w:rsid w:val="0085348B"/>
    <w:rsid w:val="0086049D"/>
    <w:rsid w:val="00885CA6"/>
    <w:rsid w:val="008B0D61"/>
    <w:rsid w:val="008C674B"/>
    <w:rsid w:val="008E64E3"/>
    <w:rsid w:val="008F00F9"/>
    <w:rsid w:val="008F2E43"/>
    <w:rsid w:val="0090226D"/>
    <w:rsid w:val="009476A9"/>
    <w:rsid w:val="00950BBE"/>
    <w:rsid w:val="00951EAA"/>
    <w:rsid w:val="0095526F"/>
    <w:rsid w:val="00955B24"/>
    <w:rsid w:val="009825C0"/>
    <w:rsid w:val="00984311"/>
    <w:rsid w:val="009A302D"/>
    <w:rsid w:val="009D43DD"/>
    <w:rsid w:val="009E7721"/>
    <w:rsid w:val="009F1C4E"/>
    <w:rsid w:val="00A045D5"/>
    <w:rsid w:val="00A04A7B"/>
    <w:rsid w:val="00A068C7"/>
    <w:rsid w:val="00A20E9A"/>
    <w:rsid w:val="00A354EC"/>
    <w:rsid w:val="00A55AEE"/>
    <w:rsid w:val="00A62231"/>
    <w:rsid w:val="00A855E5"/>
    <w:rsid w:val="00A92AFD"/>
    <w:rsid w:val="00A961C5"/>
    <w:rsid w:val="00AA33E2"/>
    <w:rsid w:val="00AB3FB0"/>
    <w:rsid w:val="00AE323C"/>
    <w:rsid w:val="00AE41D8"/>
    <w:rsid w:val="00B20FE5"/>
    <w:rsid w:val="00B37BDE"/>
    <w:rsid w:val="00B62AD4"/>
    <w:rsid w:val="00B7450E"/>
    <w:rsid w:val="00B8525F"/>
    <w:rsid w:val="00B916B8"/>
    <w:rsid w:val="00B92787"/>
    <w:rsid w:val="00B92E2D"/>
    <w:rsid w:val="00BB21AC"/>
    <w:rsid w:val="00BC4FB0"/>
    <w:rsid w:val="00C01129"/>
    <w:rsid w:val="00C05722"/>
    <w:rsid w:val="00C52B51"/>
    <w:rsid w:val="00C558E5"/>
    <w:rsid w:val="00C65125"/>
    <w:rsid w:val="00C7202B"/>
    <w:rsid w:val="00C820A2"/>
    <w:rsid w:val="00C861FA"/>
    <w:rsid w:val="00C8620B"/>
    <w:rsid w:val="00C92174"/>
    <w:rsid w:val="00C959E9"/>
    <w:rsid w:val="00CA2356"/>
    <w:rsid w:val="00CA2AD5"/>
    <w:rsid w:val="00CA506C"/>
    <w:rsid w:val="00CE6636"/>
    <w:rsid w:val="00CF1FE8"/>
    <w:rsid w:val="00D06282"/>
    <w:rsid w:val="00D40E1A"/>
    <w:rsid w:val="00D733B0"/>
    <w:rsid w:val="00D777DE"/>
    <w:rsid w:val="00D86906"/>
    <w:rsid w:val="00D9046B"/>
    <w:rsid w:val="00D93C7B"/>
    <w:rsid w:val="00D945F9"/>
    <w:rsid w:val="00D959A2"/>
    <w:rsid w:val="00DA2FA4"/>
    <w:rsid w:val="00DB201C"/>
    <w:rsid w:val="00DB73EA"/>
    <w:rsid w:val="00DC799C"/>
    <w:rsid w:val="00DD119C"/>
    <w:rsid w:val="00DD267B"/>
    <w:rsid w:val="00DE6D1C"/>
    <w:rsid w:val="00DF379C"/>
    <w:rsid w:val="00E25F80"/>
    <w:rsid w:val="00E26C9A"/>
    <w:rsid w:val="00E36390"/>
    <w:rsid w:val="00E37A72"/>
    <w:rsid w:val="00E9094D"/>
    <w:rsid w:val="00E932F8"/>
    <w:rsid w:val="00E9351F"/>
    <w:rsid w:val="00EB401B"/>
    <w:rsid w:val="00EE2A11"/>
    <w:rsid w:val="00EE3D13"/>
    <w:rsid w:val="00EE6557"/>
    <w:rsid w:val="00F0268A"/>
    <w:rsid w:val="00F04492"/>
    <w:rsid w:val="00F458F8"/>
    <w:rsid w:val="00F55299"/>
    <w:rsid w:val="00F56789"/>
    <w:rsid w:val="00F665A6"/>
    <w:rsid w:val="00F85086"/>
    <w:rsid w:val="00F85B5D"/>
    <w:rsid w:val="00F86BC2"/>
    <w:rsid w:val="00F91B8C"/>
    <w:rsid w:val="00F94C8A"/>
    <w:rsid w:val="00FC6B98"/>
    <w:rsid w:val="00FF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2FA3C-D487-43F5-8FFD-34362BBA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93C3B"/>
    <w:rPr>
      <w:rFonts w:ascii="Times New Roman" w:eastAsia="Times New Roman" w:hAnsi="Times New Roman"/>
      <w:sz w:val="24"/>
    </w:rPr>
  </w:style>
  <w:style w:type="paragraph" w:styleId="1">
    <w:name w:val="heading 1"/>
    <w:basedOn w:val="a0"/>
    <w:next w:val="a0"/>
    <w:link w:val="10"/>
    <w:qFormat/>
    <w:rsid w:val="00693C3B"/>
    <w:pPr>
      <w:keepNext/>
      <w:jc w:val="center"/>
      <w:outlineLvl w:val="0"/>
    </w:pPr>
    <w:rPr>
      <w:b/>
    </w:rPr>
  </w:style>
  <w:style w:type="paragraph" w:styleId="3">
    <w:name w:val="heading 3"/>
    <w:basedOn w:val="a0"/>
    <w:next w:val="a0"/>
    <w:link w:val="30"/>
    <w:qFormat/>
    <w:rsid w:val="00693C3B"/>
    <w:pPr>
      <w:keepNext/>
      <w:ind w:firstLine="567"/>
      <w:jc w:val="both"/>
      <w:outlineLvl w:val="2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"/>
    <w:basedOn w:val="a0"/>
    <w:rsid w:val="00693C3B"/>
    <w:pPr>
      <w:spacing w:after="160" w:line="240" w:lineRule="exact"/>
      <w:jc w:val="both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link w:val="1"/>
    <w:rsid w:val="00693C3B"/>
    <w:rPr>
      <w:rFonts w:ascii="Times New Roman" w:eastAsia="Times New Roman" w:hAnsi="Times New Roman" w:cs="Times New Roman"/>
      <w:b/>
      <w:sz w:val="24"/>
      <w:szCs w:val="20"/>
      <w:lang w:eastAsia="uk-UA"/>
    </w:rPr>
  </w:style>
  <w:style w:type="character" w:customStyle="1" w:styleId="30">
    <w:name w:val="Заголовок 3 Знак"/>
    <w:link w:val="3"/>
    <w:rsid w:val="00693C3B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5">
    <w:name w:val="Body Text"/>
    <w:basedOn w:val="a0"/>
    <w:link w:val="a6"/>
    <w:rsid w:val="00693C3B"/>
    <w:pPr>
      <w:ind w:right="5811"/>
      <w:jc w:val="both"/>
    </w:pPr>
    <w:rPr>
      <w:sz w:val="28"/>
    </w:rPr>
  </w:style>
  <w:style w:type="character" w:customStyle="1" w:styleId="a6">
    <w:name w:val="Основний текст Знак"/>
    <w:link w:val="a5"/>
    <w:rsid w:val="00693C3B"/>
    <w:rPr>
      <w:rFonts w:ascii="Times New Roman" w:eastAsia="Times New Roman" w:hAnsi="Times New Roman" w:cs="Times New Roman"/>
      <w:sz w:val="28"/>
      <w:szCs w:val="20"/>
      <w:lang w:eastAsia="uk-UA"/>
    </w:rPr>
  </w:style>
  <w:style w:type="table" w:styleId="a7">
    <w:name w:val="Table Grid"/>
    <w:basedOn w:val="a2"/>
    <w:rsid w:val="00693C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0"/>
    <w:uiPriority w:val="34"/>
    <w:qFormat/>
    <w:rsid w:val="00A62231"/>
    <w:pPr>
      <w:ind w:left="720"/>
      <w:contextualSpacing/>
    </w:pPr>
  </w:style>
  <w:style w:type="paragraph" w:customStyle="1" w:styleId="CharChar">
    <w:name w:val="Char Char"/>
    <w:basedOn w:val="a0"/>
    <w:rsid w:val="00A62231"/>
    <w:rPr>
      <w:rFonts w:ascii="Verdana" w:hAnsi="Verdana" w:cs="Verdana"/>
      <w:sz w:val="20"/>
      <w:lang w:val="en-US" w:eastAsia="en-US"/>
    </w:rPr>
  </w:style>
  <w:style w:type="character" w:customStyle="1" w:styleId="HTML1">
    <w:name w:val="Пишущая машинка HTML1"/>
    <w:rsid w:val="00A62231"/>
    <w:rPr>
      <w:sz w:val="20"/>
    </w:rPr>
  </w:style>
  <w:style w:type="character" w:styleId="a9">
    <w:name w:val="Hyperlink"/>
    <w:rsid w:val="005A0288"/>
    <w:rPr>
      <w:rFonts w:cs="Times New Roman"/>
      <w:color w:val="0000FF"/>
      <w:u w:val="single"/>
    </w:rPr>
  </w:style>
  <w:style w:type="character" w:customStyle="1" w:styleId="11">
    <w:name w:val="Слабая ссылка1"/>
    <w:rsid w:val="005A0288"/>
    <w:rPr>
      <w:rFonts w:cs="Times New Roman"/>
      <w:color w:val="002060"/>
      <w:u w:val="none"/>
      <w:lang w:val="uk-UA"/>
    </w:rPr>
  </w:style>
  <w:style w:type="paragraph" w:customStyle="1" w:styleId="Heading">
    <w:name w:val="Heading"/>
    <w:basedOn w:val="a0"/>
    <w:next w:val="a5"/>
    <w:rsid w:val="005A0288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a">
    <w:name w:val="Додаток"/>
    <w:basedOn w:val="1"/>
    <w:link w:val="aa"/>
    <w:qFormat/>
    <w:rsid w:val="00DC799C"/>
    <w:pPr>
      <w:keepLines/>
      <w:numPr>
        <w:numId w:val="7"/>
      </w:numPr>
      <w:tabs>
        <w:tab w:val="num" w:pos="0"/>
        <w:tab w:val="left" w:pos="1843"/>
      </w:tabs>
      <w:suppressAutoHyphens/>
      <w:spacing w:before="240" w:after="80"/>
      <w:ind w:left="0" w:firstLine="0"/>
      <w:jc w:val="left"/>
    </w:pPr>
    <w:rPr>
      <w:bCs/>
      <w:kern w:val="1"/>
      <w:sz w:val="36"/>
      <w:szCs w:val="36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C820A2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C820A2"/>
    <w:rPr>
      <w:rFonts w:ascii="Segoe UI" w:eastAsia="Times New Roman" w:hAnsi="Segoe UI" w:cs="Segoe UI"/>
      <w:sz w:val="18"/>
      <w:szCs w:val="18"/>
      <w:lang w:eastAsia="uk-UA"/>
    </w:rPr>
  </w:style>
  <w:style w:type="character" w:customStyle="1" w:styleId="12">
    <w:name w:val="Слабке посилання1"/>
    <w:rsid w:val="00EE3D13"/>
    <w:rPr>
      <w:rFonts w:cs="Times New Roman"/>
      <w:color w:val="002060"/>
      <w:u w:val="none"/>
      <w:lang w:val="uk-UA"/>
    </w:rPr>
  </w:style>
  <w:style w:type="character" w:customStyle="1" w:styleId="rvts0">
    <w:name w:val="rvts0"/>
    <w:rsid w:val="00EE3D13"/>
  </w:style>
  <w:style w:type="character" w:customStyle="1" w:styleId="aa">
    <w:name w:val="Додаток Знак"/>
    <w:link w:val="a"/>
    <w:rsid w:val="00545F46"/>
    <w:rPr>
      <w:rFonts w:ascii="Times New Roman" w:eastAsia="Times New Roman" w:hAnsi="Times New Roman"/>
      <w:b/>
      <w:bCs/>
      <w:kern w:val="1"/>
      <w:sz w:val="36"/>
      <w:szCs w:val="36"/>
      <w:lang w:eastAsia="zh-CN"/>
    </w:rPr>
  </w:style>
  <w:style w:type="character" w:styleId="ad">
    <w:name w:val="annotation reference"/>
    <w:uiPriority w:val="99"/>
    <w:semiHidden/>
    <w:unhideWhenUsed/>
    <w:rsid w:val="003C26B0"/>
    <w:rPr>
      <w:sz w:val="16"/>
      <w:szCs w:val="16"/>
    </w:rPr>
  </w:style>
  <w:style w:type="paragraph" w:styleId="ae">
    <w:name w:val="annotation text"/>
    <w:basedOn w:val="a0"/>
    <w:link w:val="af"/>
    <w:uiPriority w:val="99"/>
    <w:semiHidden/>
    <w:unhideWhenUsed/>
    <w:rsid w:val="003C26B0"/>
    <w:rPr>
      <w:sz w:val="20"/>
    </w:rPr>
  </w:style>
  <w:style w:type="character" w:customStyle="1" w:styleId="af">
    <w:name w:val="Текст примітки Знак"/>
    <w:link w:val="ae"/>
    <w:uiPriority w:val="99"/>
    <w:semiHidden/>
    <w:rsid w:val="003C26B0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C26B0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3C26B0"/>
    <w:rPr>
      <w:rFonts w:ascii="Times New Roman" w:eastAsia="Times New Roman" w:hAnsi="Times New Roman"/>
      <w:b/>
      <w:bCs/>
    </w:rPr>
  </w:style>
  <w:style w:type="paragraph" w:customStyle="1" w:styleId="Default">
    <w:name w:val="Default"/>
    <w:rsid w:val="00DB73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Revision"/>
    <w:hidden/>
    <w:uiPriority w:val="99"/>
    <w:semiHidden/>
    <w:rsid w:val="00DB73E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50B3E-44CF-4119-BF44-5C7D8098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10460</Words>
  <Characters>5963</Characters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2019-08-22T12:40:00Z</cp:lastPrinted>
  <dcterms:created xsi:type="dcterms:W3CDTF">2020-07-24T12:52:00Z</dcterms:created>
  <dcterms:modified xsi:type="dcterms:W3CDTF">2020-07-24T12:58:00Z</dcterms:modified>
</cp:coreProperties>
</file>